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542F0" w14:textId="77777777" w:rsidR="00D34C1D" w:rsidRPr="001352EF" w:rsidRDefault="00D34C1D" w:rsidP="001352EF">
      <w:pPr>
        <w:pStyle w:val="Title"/>
        <w:rPr>
          <w:rFonts w:ascii="Garamond" w:hAnsi="Garamond"/>
          <w:b/>
          <w:sz w:val="24"/>
          <w:szCs w:val="24"/>
        </w:rPr>
      </w:pPr>
      <w:r w:rsidRPr="001352EF">
        <w:rPr>
          <w:rFonts w:ascii="Garamond" w:hAnsi="Garamond"/>
          <w:b/>
          <w:sz w:val="24"/>
          <w:szCs w:val="24"/>
        </w:rPr>
        <w:t>Philosophy 320L – Philosophy in Translation: Latin</w:t>
      </w:r>
    </w:p>
    <w:p w14:paraId="07E5F9C9" w14:textId="2ED948C7" w:rsidR="00D34C1D" w:rsidRPr="001352EF" w:rsidRDefault="00D34C1D" w:rsidP="00D34C1D">
      <w:pPr>
        <w:jc w:val="center"/>
        <w:rPr>
          <w:rFonts w:ascii="Garamond" w:hAnsi="Garamond"/>
          <w:b/>
        </w:rPr>
      </w:pPr>
      <w:r w:rsidRPr="001352EF">
        <w:rPr>
          <w:rFonts w:ascii="Garamond" w:hAnsi="Garamond"/>
          <w:b/>
        </w:rPr>
        <w:t xml:space="preserve">Seneca’s </w:t>
      </w:r>
      <w:r w:rsidRPr="001352EF">
        <w:rPr>
          <w:rFonts w:ascii="Garamond" w:hAnsi="Garamond"/>
          <w:b/>
          <w:i/>
        </w:rPr>
        <w:t>Letters</w:t>
      </w:r>
      <w:r w:rsidRPr="001352EF">
        <w:rPr>
          <w:rStyle w:val="FootnoteReference"/>
          <w:rFonts w:ascii="Garamond" w:hAnsi="Garamond"/>
          <w:b/>
          <w:i/>
        </w:rPr>
        <w:footnoteReference w:id="1"/>
      </w:r>
    </w:p>
    <w:p w14:paraId="1CAC4C98" w14:textId="77777777" w:rsidR="00D34C1D" w:rsidRPr="001352EF" w:rsidRDefault="00D34C1D" w:rsidP="00D34C1D">
      <w:pPr>
        <w:jc w:val="center"/>
        <w:rPr>
          <w:rFonts w:ascii="Garamond" w:hAnsi="Garamond"/>
        </w:rPr>
      </w:pPr>
    </w:p>
    <w:p w14:paraId="19031C04" w14:textId="078DCD7F" w:rsidR="00D34C1D" w:rsidRPr="001352EF" w:rsidRDefault="00D34C1D" w:rsidP="00D34C1D">
      <w:pPr>
        <w:jc w:val="center"/>
        <w:rPr>
          <w:rFonts w:ascii="Garamond" w:hAnsi="Garamond"/>
        </w:rPr>
      </w:pPr>
      <w:r w:rsidRPr="001352EF">
        <w:rPr>
          <w:rFonts w:ascii="Garamond" w:hAnsi="Garamond"/>
        </w:rPr>
        <w:t>Fall 2020</w:t>
      </w:r>
    </w:p>
    <w:p w14:paraId="27569328" w14:textId="77777777" w:rsidR="00D34C1D" w:rsidRPr="001352EF" w:rsidRDefault="00D34C1D" w:rsidP="00D34C1D">
      <w:pPr>
        <w:jc w:val="center"/>
        <w:rPr>
          <w:rFonts w:ascii="Garamond" w:hAnsi="Garamond"/>
        </w:rPr>
      </w:pPr>
      <w:r w:rsidRPr="001352EF">
        <w:rPr>
          <w:rFonts w:ascii="Garamond" w:hAnsi="Garamond"/>
        </w:rPr>
        <w:t>Syllabus</w:t>
      </w:r>
    </w:p>
    <w:p w14:paraId="3727C297" w14:textId="778503FC" w:rsidR="00D34C1D" w:rsidRPr="001352EF" w:rsidRDefault="00D34C1D" w:rsidP="001352EF">
      <w:pPr>
        <w:jc w:val="center"/>
        <w:rPr>
          <w:rFonts w:ascii="Garamond" w:hAnsi="Garamond"/>
        </w:rPr>
      </w:pPr>
      <w:r w:rsidRPr="001352EF">
        <w:rPr>
          <w:rFonts w:ascii="Garamond" w:hAnsi="Garamond"/>
        </w:rPr>
        <w:t>Jeffrey K. McDonough</w:t>
      </w:r>
    </w:p>
    <w:p w14:paraId="7A653D63" w14:textId="77777777" w:rsidR="00D34C1D" w:rsidRPr="001352EF" w:rsidRDefault="00D34C1D">
      <w:pPr>
        <w:rPr>
          <w:rFonts w:ascii="Garamond" w:hAnsi="Garamond"/>
        </w:rPr>
      </w:pPr>
    </w:p>
    <w:p w14:paraId="41C8D8BF" w14:textId="1B5C849A" w:rsidR="00D34C1D" w:rsidRPr="001352EF" w:rsidRDefault="00D34C1D" w:rsidP="00D34C1D">
      <w:pPr>
        <w:rPr>
          <w:rFonts w:ascii="Garamond" w:eastAsia="Times New Roman" w:hAnsi="Garamond" w:cs="Times New Roman"/>
        </w:rPr>
      </w:pPr>
      <w:r w:rsidRPr="001352EF">
        <w:rPr>
          <w:rFonts w:ascii="Garamond" w:eastAsia="Times New Roman" w:hAnsi="Garamond" w:cs="Times New Roman"/>
        </w:rPr>
        <w:fldChar w:fldCharType="begin"/>
      </w:r>
      <w:r w:rsidRPr="001352EF">
        <w:rPr>
          <w:rFonts w:ascii="Garamond" w:eastAsia="Times New Roman" w:hAnsi="Garamond" w:cs="Times New Roman"/>
        </w:rPr>
        <w:instrText xml:space="preserve"> INCLUDEPICTURE "https://upload.wikimedia.org/wikipedia/commons/thumb/d/d5/Manuel_Dom%C3%ADnguez_S%C3%A1nchez_-_El_suicidio_de_S%C3%A9neca.jpg/800px-Manuel_Dom%C3%ADnguez_S%C3%A1nchez_-_El_suicidio_de_S%C3%A9neca.jpg" \* MERGEFORMATINET </w:instrText>
      </w:r>
      <w:r w:rsidRPr="001352EF">
        <w:rPr>
          <w:rFonts w:ascii="Garamond" w:eastAsia="Times New Roman" w:hAnsi="Garamond" w:cs="Times New Roman"/>
        </w:rPr>
        <w:fldChar w:fldCharType="separate"/>
      </w:r>
      <w:r w:rsidRPr="001352EF">
        <w:rPr>
          <w:rFonts w:ascii="Garamond" w:eastAsia="Times New Roman" w:hAnsi="Garamond" w:cs="Times New Roman"/>
          <w:noProof/>
        </w:rPr>
        <w:drawing>
          <wp:inline distT="0" distB="0" distL="0" distR="0" wp14:anchorId="5A170FE0" wp14:editId="753AD8C0">
            <wp:extent cx="5943600" cy="3556635"/>
            <wp:effectExtent l="63500" t="63500" r="127000" b="126365"/>
            <wp:docPr id="1" name="Picture 1" descr="File:Manuel Domínguez Sánchez - El suicidio de Sén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Manuel Domínguez Sánchez - El suicidio de Séne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66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352EF">
        <w:rPr>
          <w:rFonts w:ascii="Garamond" w:eastAsia="Times New Roman" w:hAnsi="Garamond" w:cs="Times New Roman"/>
        </w:rPr>
        <w:fldChar w:fldCharType="end"/>
      </w:r>
    </w:p>
    <w:p w14:paraId="7F5CD4DA" w14:textId="275EA968" w:rsidR="00D34C1D" w:rsidRPr="001352EF" w:rsidRDefault="00D34C1D">
      <w:pPr>
        <w:rPr>
          <w:rFonts w:ascii="Garamond" w:hAnsi="Garamond"/>
        </w:rPr>
      </w:pPr>
    </w:p>
    <w:p w14:paraId="6D3EAA2F" w14:textId="77777777" w:rsidR="00D34C1D" w:rsidRPr="001352EF" w:rsidRDefault="00D34C1D" w:rsidP="00D34C1D">
      <w:pPr>
        <w:pStyle w:val="Subtitle"/>
        <w:rPr>
          <w:rFonts w:ascii="Garamond" w:hAnsi="Garamond"/>
          <w:szCs w:val="24"/>
        </w:rPr>
      </w:pPr>
      <w:r w:rsidRPr="001352EF">
        <w:rPr>
          <w:rFonts w:ascii="Garamond" w:hAnsi="Garamond"/>
          <w:b/>
          <w:bCs/>
          <w:szCs w:val="24"/>
        </w:rPr>
        <w:t>Important Information:</w:t>
      </w:r>
    </w:p>
    <w:p w14:paraId="646E0209" w14:textId="77777777" w:rsidR="00EF1C01" w:rsidRDefault="00D34C1D" w:rsidP="00D34C1D">
      <w:pPr>
        <w:pStyle w:val="Subtitle"/>
        <w:ind w:left="720"/>
        <w:rPr>
          <w:rFonts w:ascii="Garamond" w:hAnsi="Garamond"/>
          <w:szCs w:val="24"/>
        </w:rPr>
      </w:pPr>
      <w:r w:rsidRPr="001352EF">
        <w:rPr>
          <w:rFonts w:ascii="Garamond" w:hAnsi="Garamond"/>
          <w:szCs w:val="24"/>
        </w:rPr>
        <w:t xml:space="preserve">Meeting: </w:t>
      </w:r>
      <w:r w:rsidR="004207E8" w:rsidRPr="001352EF">
        <w:rPr>
          <w:rFonts w:ascii="Garamond" w:hAnsi="Garamond"/>
          <w:szCs w:val="24"/>
        </w:rPr>
        <w:t xml:space="preserve">On-line, </w:t>
      </w:r>
      <w:r w:rsidR="00EF1C01">
        <w:rPr>
          <w:rFonts w:ascii="Garamond" w:hAnsi="Garamond"/>
          <w:szCs w:val="24"/>
        </w:rPr>
        <w:t>Fridays 1:45-3:00</w:t>
      </w:r>
    </w:p>
    <w:p w14:paraId="1813AE69" w14:textId="51ED7715" w:rsidR="00D34C1D" w:rsidRPr="00EF1C01" w:rsidRDefault="00EF1C01" w:rsidP="00EF1C01">
      <w:pPr>
        <w:ind w:firstLine="720"/>
        <w:rPr>
          <w:rFonts w:ascii="Garamond" w:hAnsi="Garamond"/>
        </w:rPr>
      </w:pPr>
      <w:r w:rsidRPr="00EF1C01">
        <w:rPr>
          <w:rFonts w:ascii="Garamond" w:hAnsi="Garamond"/>
        </w:rPr>
        <w:t xml:space="preserve">Zoom link: </w:t>
      </w:r>
      <w:hyperlink r:id="rId7" w:history="1">
        <w:r w:rsidRPr="00EF1C01">
          <w:rPr>
            <w:rStyle w:val="Hyperlink"/>
            <w:rFonts w:ascii="Garamond" w:hAnsi="Garamond"/>
            <w:color w:val="1A73E8"/>
            <w:sz w:val="21"/>
            <w:szCs w:val="21"/>
            <w:shd w:val="clear" w:color="auto" w:fill="F1F3F4"/>
          </w:rPr>
          <w:t>https://harvard.zoom.us/j/95848297698</w:t>
        </w:r>
      </w:hyperlink>
      <w:r w:rsidR="004207E8" w:rsidRPr="00EF1C01">
        <w:rPr>
          <w:rFonts w:ascii="Garamond" w:hAnsi="Garamond"/>
        </w:rPr>
        <w:t xml:space="preserve"> </w:t>
      </w:r>
    </w:p>
    <w:p w14:paraId="4616A3D2" w14:textId="77777777" w:rsidR="00D34C1D" w:rsidRPr="001352EF" w:rsidRDefault="00D34C1D" w:rsidP="00D34C1D">
      <w:pPr>
        <w:pStyle w:val="Subtitle"/>
        <w:ind w:left="720"/>
        <w:rPr>
          <w:rFonts w:ascii="Garamond" w:hAnsi="Garamond"/>
          <w:szCs w:val="24"/>
        </w:rPr>
      </w:pPr>
      <w:r w:rsidRPr="001352EF">
        <w:rPr>
          <w:rFonts w:ascii="Garamond" w:hAnsi="Garamond"/>
          <w:szCs w:val="24"/>
        </w:rPr>
        <w:t xml:space="preserve">Professor: Jeffrey McDonough </w:t>
      </w:r>
    </w:p>
    <w:p w14:paraId="6BEA0C56" w14:textId="77777777" w:rsidR="00D34C1D" w:rsidRPr="008C2949" w:rsidRDefault="00D34C1D" w:rsidP="00D34C1D">
      <w:pPr>
        <w:pStyle w:val="Subtitle"/>
        <w:ind w:left="720"/>
        <w:rPr>
          <w:rFonts w:ascii="Garamond" w:hAnsi="Garamond"/>
          <w:szCs w:val="24"/>
        </w:rPr>
      </w:pPr>
      <w:r w:rsidRPr="008C2949">
        <w:rPr>
          <w:rFonts w:ascii="Garamond" w:hAnsi="Garamond"/>
          <w:szCs w:val="24"/>
        </w:rPr>
        <w:t>Email: jkmcdon@fas.harvard.edu</w:t>
      </w:r>
    </w:p>
    <w:p w14:paraId="7595B825" w14:textId="0CE82AEB" w:rsidR="00D34C1D" w:rsidRPr="008C2949" w:rsidRDefault="00D34C1D">
      <w:pPr>
        <w:rPr>
          <w:rFonts w:ascii="Garamond" w:hAnsi="Garamond"/>
        </w:rPr>
      </w:pPr>
    </w:p>
    <w:p w14:paraId="41C32D99" w14:textId="650F5CAD" w:rsidR="00D34C1D" w:rsidRPr="008C2949" w:rsidRDefault="00D34C1D">
      <w:pPr>
        <w:rPr>
          <w:rFonts w:ascii="Garamond" w:hAnsi="Garamond"/>
          <w:b/>
        </w:rPr>
      </w:pPr>
      <w:r w:rsidRPr="008C2949">
        <w:rPr>
          <w:rFonts w:ascii="Garamond" w:hAnsi="Garamond"/>
          <w:b/>
        </w:rPr>
        <w:t xml:space="preserve">Course Description: </w:t>
      </w:r>
    </w:p>
    <w:p w14:paraId="19634532" w14:textId="623D686C" w:rsidR="00D34C1D" w:rsidRPr="008C2949" w:rsidRDefault="00D34C1D">
      <w:pPr>
        <w:rPr>
          <w:rFonts w:ascii="Garamond" w:hAnsi="Garamond"/>
        </w:rPr>
      </w:pPr>
    </w:p>
    <w:p w14:paraId="0A681B20" w14:textId="672C2E56" w:rsidR="00D34C1D" w:rsidRPr="001352EF" w:rsidRDefault="00FB1655" w:rsidP="00D34C1D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Lucius </w:t>
      </w:r>
      <w:proofErr w:type="spellStart"/>
      <w:r w:rsidRPr="001352EF">
        <w:rPr>
          <w:rFonts w:ascii="Garamond" w:hAnsi="Garamond"/>
        </w:rPr>
        <w:t>Annaeus</w:t>
      </w:r>
      <w:proofErr w:type="spellEnd"/>
      <w:r w:rsidRPr="001352EF">
        <w:rPr>
          <w:rFonts w:ascii="Garamond" w:hAnsi="Garamond"/>
        </w:rPr>
        <w:t xml:space="preserve"> Seneca was a Roman Stoic philosopher, essayist, celebrity, and renown </w:t>
      </w:r>
      <w:r w:rsidR="00FD135F" w:rsidRPr="001352EF">
        <w:rPr>
          <w:rFonts w:ascii="Garamond" w:hAnsi="Garamond"/>
        </w:rPr>
        <w:t>playwright</w:t>
      </w:r>
      <w:r w:rsidRPr="001352EF">
        <w:rPr>
          <w:rFonts w:ascii="Garamond" w:hAnsi="Garamond"/>
        </w:rPr>
        <w:t xml:space="preserve">. </w:t>
      </w:r>
      <w:r w:rsidR="001352EF" w:rsidRPr="001352EF">
        <w:rPr>
          <w:rFonts w:ascii="Garamond" w:hAnsi="Garamond"/>
        </w:rPr>
        <w:t>Exorbitantly rich, he defended the virtues of poverty. Advisor to Nero, he insisted that political power is worthless. Maint</w:t>
      </w:r>
      <w:r w:rsidR="001E1464">
        <w:rPr>
          <w:rFonts w:ascii="Garamond" w:hAnsi="Garamond"/>
        </w:rPr>
        <w:t xml:space="preserve">aining </w:t>
      </w:r>
      <w:r w:rsidR="001352EF" w:rsidRPr="001352EF">
        <w:rPr>
          <w:rFonts w:ascii="Garamond" w:hAnsi="Garamond"/>
        </w:rPr>
        <w:t>that death is no</w:t>
      </w:r>
      <w:r w:rsidR="00FD135F">
        <w:rPr>
          <w:rFonts w:ascii="Garamond" w:hAnsi="Garamond"/>
        </w:rPr>
        <w:t>t</w:t>
      </w:r>
      <w:r w:rsidR="001352EF" w:rsidRPr="001352EF">
        <w:rPr>
          <w:rFonts w:ascii="Garamond" w:hAnsi="Garamond"/>
        </w:rPr>
        <w:t xml:space="preserve"> evil, he was compelled to commit suicide in his sixty-ninth year. This course will meet weekly to read passages in Latin from one of Seneca’s most celebrated philosophical texts, his </w:t>
      </w:r>
      <w:r w:rsidR="001352EF" w:rsidRPr="001352EF">
        <w:rPr>
          <w:rFonts w:ascii="Garamond" w:hAnsi="Garamond"/>
          <w:i/>
        </w:rPr>
        <w:t xml:space="preserve">Letters to </w:t>
      </w:r>
      <w:proofErr w:type="spellStart"/>
      <w:r w:rsidR="001352EF" w:rsidRPr="001352EF">
        <w:rPr>
          <w:rFonts w:ascii="Garamond" w:hAnsi="Garamond"/>
          <w:i/>
        </w:rPr>
        <w:t>Lucilius</w:t>
      </w:r>
      <w:proofErr w:type="spellEnd"/>
      <w:r w:rsidR="001352EF" w:rsidRPr="001352EF">
        <w:rPr>
          <w:rFonts w:ascii="Garamond" w:hAnsi="Garamond"/>
        </w:rPr>
        <w:t>. The course</w:t>
      </w:r>
      <w:r w:rsidR="00D34C1D" w:rsidRPr="001352EF">
        <w:rPr>
          <w:rFonts w:ascii="Garamond" w:hAnsi="Garamond"/>
        </w:rPr>
        <w:t xml:space="preserve"> is open to undergraduates, graduates, and faculty of all reading levels. It can be audited with minimal commitment or taken as a course towards the satisfaction of the Philosophy Department’s language requirement. Please contact the instructor if you would like to be placed </w:t>
      </w:r>
      <w:r w:rsidR="001352EF" w:rsidRPr="001352EF">
        <w:rPr>
          <w:rFonts w:ascii="Garamond" w:hAnsi="Garamond"/>
        </w:rPr>
        <w:t xml:space="preserve">(with no commitment) </w:t>
      </w:r>
      <w:r w:rsidR="00D34C1D" w:rsidRPr="001352EF">
        <w:rPr>
          <w:rFonts w:ascii="Garamond" w:hAnsi="Garamond"/>
        </w:rPr>
        <w:t xml:space="preserve">on the course e-mail distribution list. </w:t>
      </w:r>
    </w:p>
    <w:p w14:paraId="2863740F" w14:textId="77777777" w:rsidR="00D34C1D" w:rsidRPr="001352EF" w:rsidRDefault="00D34C1D">
      <w:pPr>
        <w:rPr>
          <w:rFonts w:ascii="Garamond" w:hAnsi="Garamond"/>
        </w:rPr>
      </w:pPr>
    </w:p>
    <w:p w14:paraId="63EBEF78" w14:textId="77777777" w:rsidR="00901A38" w:rsidRPr="001352EF" w:rsidRDefault="00901A38" w:rsidP="008554CD">
      <w:pPr>
        <w:rPr>
          <w:rFonts w:ascii="Garamond" w:hAnsi="Garamond"/>
          <w:b/>
          <w:bCs/>
        </w:rPr>
      </w:pPr>
    </w:p>
    <w:p w14:paraId="7B5C4E40" w14:textId="31429F74" w:rsidR="008554CD" w:rsidRPr="001352EF" w:rsidRDefault="00901A38" w:rsidP="008554CD">
      <w:pPr>
        <w:rPr>
          <w:rFonts w:ascii="Garamond" w:hAnsi="Garamond"/>
          <w:b/>
          <w:bCs/>
        </w:rPr>
      </w:pPr>
      <w:r w:rsidRPr="001352EF">
        <w:rPr>
          <w:rFonts w:ascii="Garamond" w:hAnsi="Garamond"/>
          <w:b/>
          <w:bCs/>
        </w:rPr>
        <w:t xml:space="preserve">Optional </w:t>
      </w:r>
      <w:r w:rsidR="008554CD" w:rsidRPr="001352EF">
        <w:rPr>
          <w:rFonts w:ascii="Garamond" w:hAnsi="Garamond"/>
          <w:b/>
          <w:bCs/>
        </w:rPr>
        <w:t>Texts and Background Reading:</w:t>
      </w:r>
    </w:p>
    <w:p w14:paraId="7E218D34" w14:textId="77777777" w:rsidR="00901A38" w:rsidRPr="001352EF" w:rsidRDefault="00901A38" w:rsidP="00901A38">
      <w:pPr>
        <w:rPr>
          <w:rFonts w:ascii="Garamond" w:eastAsia="Times New Roman" w:hAnsi="Garamond" w:cs="Times New Roman"/>
          <w:color w:val="000000"/>
          <w:shd w:val="clear" w:color="auto" w:fill="FFFFFF"/>
        </w:rPr>
      </w:pPr>
    </w:p>
    <w:p w14:paraId="6885210E" w14:textId="77777777" w:rsidR="00901A38" w:rsidRPr="001352EF" w:rsidRDefault="00901A38" w:rsidP="00901A38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Peter Adamson, Later Antiquity, </w:t>
      </w:r>
      <w:r w:rsidRPr="001352EF">
        <w:rPr>
          <w:rFonts w:ascii="Garamond" w:hAnsi="Garamond"/>
          <w:i/>
        </w:rPr>
        <w:t>The History of Philosophy without any Gaps</w:t>
      </w:r>
      <w:r w:rsidRPr="001352EF">
        <w:rPr>
          <w:rFonts w:ascii="Garamond" w:hAnsi="Garamond"/>
        </w:rPr>
        <w:t xml:space="preserve">, online at: </w:t>
      </w:r>
      <w:hyperlink r:id="rId8" w:history="1">
        <w:r w:rsidRPr="001352EF">
          <w:rPr>
            <w:rStyle w:val="Hyperlink"/>
            <w:rFonts w:ascii="Garamond" w:hAnsi="Garamond"/>
          </w:rPr>
          <w:t>https://historyofphilosophy.net/later-antiquity/hellenistic</w:t>
        </w:r>
      </w:hyperlink>
    </w:p>
    <w:p w14:paraId="623F408B" w14:textId="7540183F" w:rsidR="00901A38" w:rsidRPr="001352EF" w:rsidRDefault="00FB1655" w:rsidP="00901A38">
      <w:pPr>
        <w:pStyle w:val="NormalWeb"/>
        <w:spacing w:before="240" w:beforeAutospacing="0" w:after="240" w:afterAutospacing="0"/>
        <w:rPr>
          <w:rFonts w:ascii="Garamond" w:hAnsi="Garamond" w:cs="Calibri"/>
          <w:color w:val="202528"/>
        </w:rPr>
      </w:pPr>
      <w:proofErr w:type="spellStart"/>
      <w:r w:rsidRPr="001352EF">
        <w:rPr>
          <w:rFonts w:ascii="Garamond" w:hAnsi="Garamond" w:cs="Calibri"/>
          <w:color w:val="202528"/>
        </w:rPr>
        <w:t>Keimpe</w:t>
      </w:r>
      <w:proofErr w:type="spellEnd"/>
      <w:r w:rsidRPr="001352EF">
        <w:rPr>
          <w:rFonts w:ascii="Garamond" w:hAnsi="Garamond" w:cs="Calibri"/>
          <w:color w:val="202528"/>
        </w:rPr>
        <w:t xml:space="preserve"> </w:t>
      </w:r>
      <w:proofErr w:type="spellStart"/>
      <w:r w:rsidRPr="001352EF">
        <w:rPr>
          <w:rFonts w:ascii="Garamond" w:hAnsi="Garamond" w:cs="Calibri"/>
          <w:color w:val="202528"/>
        </w:rPr>
        <w:t>Algra</w:t>
      </w:r>
      <w:proofErr w:type="spellEnd"/>
      <w:r w:rsidR="00901A38" w:rsidRPr="001352EF">
        <w:rPr>
          <w:rFonts w:ascii="Garamond" w:hAnsi="Garamond" w:cs="Calibri"/>
          <w:color w:val="202528"/>
        </w:rPr>
        <w:t>, Jonathan Barnes, et al (eds), </w:t>
      </w:r>
      <w:r w:rsidR="00901A38" w:rsidRPr="001352EF">
        <w:rPr>
          <w:rStyle w:val="Emphasis"/>
          <w:rFonts w:ascii="Garamond" w:hAnsi="Garamond" w:cs="Calibri"/>
          <w:color w:val="202528"/>
        </w:rPr>
        <w:t>The Cambridge History of Hellenistic Philosophy</w:t>
      </w:r>
      <w:r w:rsidR="00901A38" w:rsidRPr="001352EF">
        <w:rPr>
          <w:rFonts w:ascii="Garamond" w:hAnsi="Garamond" w:cs="Calibri"/>
          <w:color w:val="202528"/>
        </w:rPr>
        <w:t> (Cambridge: 1999).</w:t>
      </w:r>
    </w:p>
    <w:p w14:paraId="68A4B43E" w14:textId="77777777" w:rsidR="00FB1655" w:rsidRPr="001352EF" w:rsidRDefault="00FB1655" w:rsidP="00FB1655">
      <w:pPr>
        <w:rPr>
          <w:rFonts w:ascii="Garamond" w:eastAsia="Times New Roman" w:hAnsi="Garamond" w:cs="Times New Roman"/>
        </w:rPr>
      </w:pPr>
      <w:r w:rsidRPr="001352EF">
        <w:rPr>
          <w:rFonts w:ascii="Garamond" w:eastAsia="Times New Roman" w:hAnsi="Garamond" w:cs="Times New Roman"/>
          <w:color w:val="000000"/>
          <w:shd w:val="clear" w:color="auto" w:fill="FFFFFF"/>
        </w:rPr>
        <w:t xml:space="preserve">Richard M. </w:t>
      </w:r>
      <w:proofErr w:type="spellStart"/>
      <w:r w:rsidRPr="001352EF">
        <w:rPr>
          <w:rFonts w:ascii="Garamond" w:eastAsia="Times New Roman" w:hAnsi="Garamond" w:cs="Times New Roman"/>
          <w:color w:val="000000"/>
          <w:shd w:val="clear" w:color="auto" w:fill="FFFFFF"/>
        </w:rPr>
        <w:t>Gummere</w:t>
      </w:r>
      <w:proofErr w:type="spellEnd"/>
      <w:r w:rsidRPr="001352EF">
        <w:rPr>
          <w:rFonts w:ascii="Garamond" w:eastAsia="Times New Roman" w:hAnsi="Garamond" w:cs="Times New Roman"/>
          <w:color w:val="000000"/>
          <w:shd w:val="clear" w:color="auto" w:fill="FFFFFF"/>
        </w:rPr>
        <w:t xml:space="preserve">, trans. </w:t>
      </w:r>
      <w:r w:rsidRPr="001352EF">
        <w:rPr>
          <w:rFonts w:ascii="Garamond" w:eastAsia="Times New Roman" w:hAnsi="Garamond" w:cs="Times New Roman"/>
          <w:i/>
          <w:color w:val="000000"/>
          <w:shd w:val="clear" w:color="auto" w:fill="FFFFFF"/>
        </w:rPr>
        <w:t xml:space="preserve">Seneca, Lucius </w:t>
      </w:r>
      <w:proofErr w:type="spellStart"/>
      <w:r w:rsidRPr="001352EF">
        <w:rPr>
          <w:rFonts w:ascii="Garamond" w:eastAsia="Times New Roman" w:hAnsi="Garamond" w:cs="Times New Roman"/>
          <w:i/>
          <w:color w:val="000000"/>
          <w:shd w:val="clear" w:color="auto" w:fill="FFFFFF"/>
        </w:rPr>
        <w:t>An</w:t>
      </w:r>
      <w:r w:rsidRPr="001352EF">
        <w:rPr>
          <w:rFonts w:ascii="Garamond" w:eastAsia="Times New Roman" w:hAnsi="Garamond" w:cs="Times New Roman"/>
          <w:color w:val="000000"/>
          <w:shd w:val="clear" w:color="auto" w:fill="FFFFFF"/>
        </w:rPr>
        <w:t>naeus</w:t>
      </w:r>
      <w:proofErr w:type="spellEnd"/>
      <w:r w:rsidRPr="001352EF">
        <w:rPr>
          <w:rFonts w:ascii="Garamond" w:eastAsia="Times New Roman" w:hAnsi="Garamond" w:cs="Times New Roman"/>
          <w:color w:val="000000"/>
          <w:shd w:val="clear" w:color="auto" w:fill="FFFFFF"/>
        </w:rPr>
        <w:t>. </w:t>
      </w:r>
      <w:proofErr w:type="spellStart"/>
      <w:r w:rsidRPr="001352EF">
        <w:rPr>
          <w:rFonts w:ascii="Garamond" w:eastAsia="Times New Roman" w:hAnsi="Garamond" w:cs="Times New Roman"/>
          <w:i/>
          <w:iCs/>
          <w:color w:val="000000"/>
          <w:bdr w:val="none" w:sz="0" w:space="0" w:color="auto" w:frame="1"/>
          <w:shd w:val="clear" w:color="auto" w:fill="FFFFFF"/>
        </w:rPr>
        <w:t>Epistulae</w:t>
      </w:r>
      <w:proofErr w:type="spellEnd"/>
      <w:r w:rsidRPr="001352EF">
        <w:rPr>
          <w:rFonts w:ascii="Garamond" w:eastAsia="Times New Roman" w:hAnsi="Garamond" w:cs="Times New Roman"/>
          <w:i/>
          <w:iCs/>
          <w:color w:val="000000"/>
          <w:bdr w:val="none" w:sz="0" w:space="0" w:color="auto" w:frame="1"/>
          <w:shd w:val="clear" w:color="auto" w:fill="FFFFFF"/>
        </w:rPr>
        <w:t xml:space="preserve"> Morales </w:t>
      </w:r>
      <w:r w:rsidRPr="001352EF">
        <w:rPr>
          <w:rFonts w:ascii="Garamond" w:eastAsia="Times New Roman" w:hAnsi="Garamond" w:cs="Times New Roman"/>
          <w:color w:val="000000"/>
          <w:shd w:val="clear" w:color="auto" w:fill="FFFFFF"/>
        </w:rPr>
        <w:t>(</w:t>
      </w:r>
      <w:r w:rsidRPr="001352EF">
        <w:rPr>
          <w:rFonts w:ascii="Garamond" w:eastAsia="Times New Roman" w:hAnsi="Garamond" w:cs="Times New Roman"/>
          <w:i/>
          <w:iCs/>
          <w:color w:val="000000"/>
          <w:bdr w:val="none" w:sz="0" w:space="0" w:color="auto" w:frame="1"/>
          <w:shd w:val="clear" w:color="auto" w:fill="FFFFFF"/>
        </w:rPr>
        <w:t>Letters</w:t>
      </w:r>
      <w:r w:rsidRPr="001352EF">
        <w:rPr>
          <w:rFonts w:ascii="Garamond" w:eastAsia="Times New Roman" w:hAnsi="Garamond" w:cs="Times New Roman"/>
          <w:color w:val="000000"/>
          <w:shd w:val="clear" w:color="auto" w:fill="FFFFFF"/>
        </w:rPr>
        <w:t xml:space="preserve">). (Harvard University Press, 1917) 3 vols. </w:t>
      </w:r>
    </w:p>
    <w:p w14:paraId="37D0D9C6" w14:textId="77777777" w:rsidR="00901A38" w:rsidRPr="001352EF" w:rsidRDefault="00901A38" w:rsidP="00901A38">
      <w:pPr>
        <w:rPr>
          <w:rFonts w:ascii="Garamond" w:hAnsi="Garamond"/>
        </w:rPr>
      </w:pPr>
    </w:p>
    <w:p w14:paraId="20ACAB28" w14:textId="6BEE80D2" w:rsidR="00901A38" w:rsidRPr="001352EF" w:rsidRDefault="00901A38" w:rsidP="00901A38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Brad Inwood, Seneca: </w:t>
      </w:r>
      <w:r w:rsidRPr="001352EF">
        <w:rPr>
          <w:rFonts w:ascii="Garamond" w:hAnsi="Garamond"/>
          <w:i/>
        </w:rPr>
        <w:t>Selected Philosophical Letters</w:t>
      </w:r>
      <w:r w:rsidRPr="001352EF">
        <w:rPr>
          <w:rFonts w:ascii="Garamond" w:hAnsi="Garamond"/>
        </w:rPr>
        <w:t xml:space="preserve"> (Clarendon: 2010). Translations of selected letters with extensive philosophical commentaries. </w:t>
      </w:r>
    </w:p>
    <w:p w14:paraId="7C26E40E" w14:textId="77777777" w:rsidR="00556A86" w:rsidRPr="001352EF" w:rsidRDefault="00556A86">
      <w:pPr>
        <w:rPr>
          <w:rFonts w:ascii="Garamond" w:hAnsi="Garamond"/>
        </w:rPr>
      </w:pPr>
    </w:p>
    <w:p w14:paraId="392230E6" w14:textId="77777777" w:rsidR="00901A38" w:rsidRPr="001352EF" w:rsidRDefault="00901A38" w:rsidP="00901A38">
      <w:pPr>
        <w:rPr>
          <w:rFonts w:ascii="Garamond" w:eastAsia="Times New Roman" w:hAnsi="Garamond" w:cs="Times New Roman"/>
          <w:color w:val="1A1A1A"/>
          <w:shd w:val="clear" w:color="auto" w:fill="FFFFFF"/>
        </w:rPr>
      </w:pPr>
      <w:r w:rsidRPr="001352EF">
        <w:rPr>
          <w:rFonts w:ascii="Garamond" w:eastAsia="Times New Roman" w:hAnsi="Garamond" w:cs="Times New Roman"/>
          <w:color w:val="1A1A1A"/>
          <w:shd w:val="clear" w:color="auto" w:fill="FFFFFF"/>
        </w:rPr>
        <w:t xml:space="preserve">Brad Inwood, </w:t>
      </w:r>
      <w:r w:rsidRPr="001352EF">
        <w:rPr>
          <w:rFonts w:ascii="Garamond" w:eastAsia="Times New Roman" w:hAnsi="Garamond" w:cs="Times New Roman"/>
          <w:i/>
          <w:iCs/>
          <w:color w:val="1A1A1A"/>
          <w:shd w:val="clear" w:color="auto" w:fill="FFFFFF"/>
        </w:rPr>
        <w:t>Reading Seneca: Stoic Philosophy at Rome</w:t>
      </w:r>
      <w:r w:rsidRPr="001352EF">
        <w:rPr>
          <w:rFonts w:ascii="Garamond" w:eastAsia="Times New Roman" w:hAnsi="Garamond" w:cs="Times New Roman"/>
          <w:color w:val="1A1A1A"/>
          <w:shd w:val="clear" w:color="auto" w:fill="FFFFFF"/>
        </w:rPr>
        <w:t xml:space="preserve"> (Oxford 2005). </w:t>
      </w:r>
    </w:p>
    <w:p w14:paraId="66C5DD76" w14:textId="65D82CBC" w:rsidR="00901A38" w:rsidRPr="001352EF" w:rsidRDefault="00901A38" w:rsidP="00901A38">
      <w:pPr>
        <w:rPr>
          <w:rFonts w:ascii="Garamond" w:eastAsia="Times New Roman" w:hAnsi="Garamond" w:cs="Times New Roman"/>
          <w:color w:val="1A1A1A"/>
          <w:shd w:val="clear" w:color="auto" w:fill="FFFFFF"/>
        </w:rPr>
      </w:pPr>
    </w:p>
    <w:p w14:paraId="7689228D" w14:textId="77777777" w:rsidR="00FB1655" w:rsidRPr="001352EF" w:rsidRDefault="00FB1655" w:rsidP="00FB1655">
      <w:pPr>
        <w:rPr>
          <w:rFonts w:ascii="Garamond" w:hAnsi="Garamond"/>
        </w:rPr>
      </w:pPr>
      <w:r w:rsidRPr="001352EF">
        <w:rPr>
          <w:rFonts w:ascii="Garamond" w:hAnsi="Garamond" w:cs="Calibri"/>
          <w:color w:val="202528"/>
        </w:rPr>
        <w:t>A.A. Long and D.N. Sedley, </w:t>
      </w:r>
      <w:r w:rsidRPr="001352EF">
        <w:rPr>
          <w:rStyle w:val="Emphasis"/>
          <w:rFonts w:ascii="Garamond" w:hAnsi="Garamond" w:cs="Calibri"/>
          <w:color w:val="202528"/>
        </w:rPr>
        <w:t>The Hellenistic Philosophers</w:t>
      </w:r>
      <w:r w:rsidRPr="001352EF">
        <w:rPr>
          <w:rFonts w:ascii="Garamond" w:hAnsi="Garamond" w:cs="Calibri"/>
          <w:color w:val="202528"/>
        </w:rPr>
        <w:t> (Cambridge: 1987), vol. 1: translations and commentary, vol.2: texts.</w:t>
      </w:r>
    </w:p>
    <w:p w14:paraId="31391937" w14:textId="77777777" w:rsidR="00FB1655" w:rsidRPr="001352EF" w:rsidRDefault="00FB1655" w:rsidP="00901A38">
      <w:pPr>
        <w:rPr>
          <w:rFonts w:ascii="Garamond" w:eastAsia="Times New Roman" w:hAnsi="Garamond" w:cs="Times New Roman"/>
          <w:color w:val="1A1A1A"/>
          <w:shd w:val="clear" w:color="auto" w:fill="FFFFFF"/>
        </w:rPr>
      </w:pPr>
    </w:p>
    <w:p w14:paraId="7E8261E9" w14:textId="1CA037BD" w:rsidR="00901A38" w:rsidRPr="001352EF" w:rsidRDefault="00FB1655" w:rsidP="00901A38">
      <w:pPr>
        <w:rPr>
          <w:rFonts w:ascii="Garamond" w:eastAsia="Times New Roman" w:hAnsi="Garamond" w:cs="Times New Roman"/>
        </w:rPr>
      </w:pPr>
      <w:r w:rsidRPr="001352EF">
        <w:rPr>
          <w:rFonts w:ascii="Garamond" w:eastAsia="Times New Roman" w:hAnsi="Garamond" w:cs="Times New Roman"/>
          <w:color w:val="1A1A1A"/>
          <w:shd w:val="clear" w:color="auto" w:fill="FFFFFF"/>
        </w:rPr>
        <w:t xml:space="preserve">Martha </w:t>
      </w:r>
      <w:r w:rsidR="00901A38" w:rsidRPr="001352EF">
        <w:rPr>
          <w:rFonts w:ascii="Garamond" w:eastAsia="Times New Roman" w:hAnsi="Garamond" w:cs="Times New Roman"/>
          <w:color w:val="1A1A1A"/>
          <w:shd w:val="clear" w:color="auto" w:fill="FFFFFF"/>
        </w:rPr>
        <w:t xml:space="preserve">Nussbaum, </w:t>
      </w:r>
      <w:r w:rsidR="00901A38" w:rsidRPr="001352EF">
        <w:rPr>
          <w:rFonts w:ascii="Garamond" w:eastAsia="Times New Roman" w:hAnsi="Garamond" w:cs="Times New Roman"/>
          <w:i/>
          <w:iCs/>
          <w:color w:val="1A1A1A"/>
          <w:shd w:val="clear" w:color="auto" w:fill="FFFFFF"/>
        </w:rPr>
        <w:t xml:space="preserve">The </w:t>
      </w:r>
      <w:r w:rsidRPr="001352EF">
        <w:rPr>
          <w:rFonts w:ascii="Garamond" w:eastAsia="Times New Roman" w:hAnsi="Garamond" w:cs="Times New Roman"/>
          <w:i/>
          <w:iCs/>
          <w:color w:val="1A1A1A"/>
          <w:shd w:val="clear" w:color="auto" w:fill="FFFFFF"/>
        </w:rPr>
        <w:t>T</w:t>
      </w:r>
      <w:r w:rsidR="00901A38" w:rsidRPr="001352EF">
        <w:rPr>
          <w:rFonts w:ascii="Garamond" w:eastAsia="Times New Roman" w:hAnsi="Garamond" w:cs="Times New Roman"/>
          <w:i/>
          <w:iCs/>
          <w:color w:val="1A1A1A"/>
          <w:shd w:val="clear" w:color="auto" w:fill="FFFFFF"/>
        </w:rPr>
        <w:t xml:space="preserve">herapy of </w:t>
      </w:r>
      <w:r w:rsidRPr="001352EF">
        <w:rPr>
          <w:rFonts w:ascii="Garamond" w:eastAsia="Times New Roman" w:hAnsi="Garamond" w:cs="Times New Roman"/>
          <w:i/>
          <w:iCs/>
          <w:color w:val="1A1A1A"/>
          <w:shd w:val="clear" w:color="auto" w:fill="FFFFFF"/>
        </w:rPr>
        <w:t>D</w:t>
      </w:r>
      <w:r w:rsidR="00901A38" w:rsidRPr="001352EF">
        <w:rPr>
          <w:rFonts w:ascii="Garamond" w:eastAsia="Times New Roman" w:hAnsi="Garamond" w:cs="Times New Roman"/>
          <w:i/>
          <w:iCs/>
          <w:color w:val="1A1A1A"/>
          <w:shd w:val="clear" w:color="auto" w:fill="FFFFFF"/>
        </w:rPr>
        <w:t xml:space="preserve">esire: </w:t>
      </w:r>
      <w:r w:rsidRPr="001352EF">
        <w:rPr>
          <w:rFonts w:ascii="Garamond" w:eastAsia="Times New Roman" w:hAnsi="Garamond" w:cs="Times New Roman"/>
          <w:i/>
          <w:iCs/>
          <w:color w:val="1A1A1A"/>
          <w:shd w:val="clear" w:color="auto" w:fill="FFFFFF"/>
        </w:rPr>
        <w:t>T</w:t>
      </w:r>
      <w:r w:rsidR="00901A38" w:rsidRPr="001352EF">
        <w:rPr>
          <w:rFonts w:ascii="Garamond" w:eastAsia="Times New Roman" w:hAnsi="Garamond" w:cs="Times New Roman"/>
          <w:i/>
          <w:iCs/>
          <w:color w:val="1A1A1A"/>
          <w:shd w:val="clear" w:color="auto" w:fill="FFFFFF"/>
        </w:rPr>
        <w:t xml:space="preserve">heory and </w:t>
      </w:r>
      <w:r w:rsidRPr="001352EF">
        <w:rPr>
          <w:rFonts w:ascii="Garamond" w:eastAsia="Times New Roman" w:hAnsi="Garamond" w:cs="Times New Roman"/>
          <w:i/>
          <w:iCs/>
          <w:color w:val="1A1A1A"/>
          <w:shd w:val="clear" w:color="auto" w:fill="FFFFFF"/>
        </w:rPr>
        <w:t>P</w:t>
      </w:r>
      <w:r w:rsidR="00901A38" w:rsidRPr="001352EF">
        <w:rPr>
          <w:rFonts w:ascii="Garamond" w:eastAsia="Times New Roman" w:hAnsi="Garamond" w:cs="Times New Roman"/>
          <w:i/>
          <w:iCs/>
          <w:color w:val="1A1A1A"/>
          <w:shd w:val="clear" w:color="auto" w:fill="FFFFFF"/>
        </w:rPr>
        <w:t xml:space="preserve">ractice in Hellenistic </w:t>
      </w:r>
      <w:r w:rsidRPr="001352EF">
        <w:rPr>
          <w:rFonts w:ascii="Garamond" w:eastAsia="Times New Roman" w:hAnsi="Garamond" w:cs="Times New Roman"/>
          <w:i/>
          <w:iCs/>
          <w:color w:val="1A1A1A"/>
          <w:shd w:val="clear" w:color="auto" w:fill="FFFFFF"/>
        </w:rPr>
        <w:t>E</w:t>
      </w:r>
      <w:r w:rsidR="00901A38" w:rsidRPr="001352EF">
        <w:rPr>
          <w:rFonts w:ascii="Garamond" w:eastAsia="Times New Roman" w:hAnsi="Garamond" w:cs="Times New Roman"/>
          <w:i/>
          <w:iCs/>
          <w:color w:val="1A1A1A"/>
          <w:shd w:val="clear" w:color="auto" w:fill="FFFFFF"/>
        </w:rPr>
        <w:t>thics</w:t>
      </w:r>
      <w:r w:rsidR="00901A38" w:rsidRPr="001352EF">
        <w:rPr>
          <w:rFonts w:ascii="Garamond" w:eastAsia="Times New Roman" w:hAnsi="Garamond" w:cs="Times New Roman"/>
          <w:color w:val="1A1A1A"/>
          <w:shd w:val="clear" w:color="auto" w:fill="FFFFFF"/>
        </w:rPr>
        <w:t xml:space="preserve">, </w:t>
      </w:r>
      <w:r w:rsidRPr="001352EF">
        <w:rPr>
          <w:rFonts w:ascii="Garamond" w:eastAsia="Times New Roman" w:hAnsi="Garamond" w:cs="Times New Roman"/>
          <w:color w:val="1A1A1A"/>
          <w:shd w:val="clear" w:color="auto" w:fill="FFFFFF"/>
        </w:rPr>
        <w:t>(</w:t>
      </w:r>
      <w:r w:rsidR="00901A38" w:rsidRPr="001352EF">
        <w:rPr>
          <w:rFonts w:ascii="Garamond" w:eastAsia="Times New Roman" w:hAnsi="Garamond" w:cs="Times New Roman"/>
          <w:color w:val="1A1A1A"/>
          <w:shd w:val="clear" w:color="auto" w:fill="FFFFFF"/>
        </w:rPr>
        <w:t>Princeton University Press</w:t>
      </w:r>
      <w:r w:rsidRPr="001352EF">
        <w:rPr>
          <w:rFonts w:ascii="Garamond" w:eastAsia="Times New Roman" w:hAnsi="Garamond" w:cs="Times New Roman"/>
          <w:color w:val="1A1A1A"/>
          <w:shd w:val="clear" w:color="auto" w:fill="FFFFFF"/>
        </w:rPr>
        <w:t>, 1994)</w:t>
      </w:r>
      <w:r w:rsidR="00901A38" w:rsidRPr="001352EF">
        <w:rPr>
          <w:rFonts w:ascii="Garamond" w:eastAsia="Times New Roman" w:hAnsi="Garamond" w:cs="Times New Roman"/>
          <w:color w:val="1A1A1A"/>
          <w:shd w:val="clear" w:color="auto" w:fill="FFFFFF"/>
        </w:rPr>
        <w:t>.</w:t>
      </w:r>
    </w:p>
    <w:p w14:paraId="5AE78266" w14:textId="0D0D446D" w:rsidR="00901A38" w:rsidRPr="001352EF" w:rsidRDefault="00901A38" w:rsidP="00901A38">
      <w:pPr>
        <w:rPr>
          <w:rFonts w:ascii="Garamond" w:eastAsia="Times New Roman" w:hAnsi="Garamond" w:cs="Times New Roman"/>
          <w:color w:val="1A1A1A"/>
          <w:shd w:val="clear" w:color="auto" w:fill="FFFFFF"/>
        </w:rPr>
      </w:pPr>
    </w:p>
    <w:p w14:paraId="0DA3F024" w14:textId="5B82D6E0" w:rsidR="00901A38" w:rsidRPr="001352EF" w:rsidRDefault="00FB1655" w:rsidP="00901A38">
      <w:pPr>
        <w:rPr>
          <w:rFonts w:ascii="Garamond" w:eastAsia="Times New Roman" w:hAnsi="Garamond" w:cs="Times New Roman"/>
        </w:rPr>
      </w:pPr>
      <w:r w:rsidRPr="001352EF">
        <w:rPr>
          <w:rFonts w:ascii="Garamond" w:eastAsia="Times New Roman" w:hAnsi="Garamond" w:cs="Times New Roman"/>
          <w:color w:val="1A1A1A"/>
          <w:shd w:val="clear" w:color="auto" w:fill="FFFFFF"/>
        </w:rPr>
        <w:t xml:space="preserve">John </w:t>
      </w:r>
      <w:proofErr w:type="spellStart"/>
      <w:r w:rsidR="00901A38" w:rsidRPr="001352EF">
        <w:rPr>
          <w:rFonts w:ascii="Garamond" w:eastAsia="Times New Roman" w:hAnsi="Garamond" w:cs="Times New Roman"/>
          <w:color w:val="1A1A1A"/>
          <w:shd w:val="clear" w:color="auto" w:fill="FFFFFF"/>
        </w:rPr>
        <w:t>Rist</w:t>
      </w:r>
      <w:proofErr w:type="spellEnd"/>
      <w:r w:rsidR="00901A38" w:rsidRPr="001352EF">
        <w:rPr>
          <w:rFonts w:ascii="Garamond" w:eastAsia="Times New Roman" w:hAnsi="Garamond" w:cs="Times New Roman"/>
          <w:color w:val="1A1A1A"/>
          <w:shd w:val="clear" w:color="auto" w:fill="FFFFFF"/>
        </w:rPr>
        <w:t xml:space="preserve">, </w:t>
      </w:r>
      <w:r w:rsidR="00901A38" w:rsidRPr="001352EF">
        <w:rPr>
          <w:rFonts w:ascii="Garamond" w:eastAsia="Times New Roman" w:hAnsi="Garamond" w:cs="Times New Roman"/>
          <w:i/>
          <w:iCs/>
          <w:color w:val="1A1A1A"/>
          <w:shd w:val="clear" w:color="auto" w:fill="FFFFFF"/>
        </w:rPr>
        <w:t>Stoic Philosophy</w:t>
      </w:r>
      <w:r w:rsidR="00901A38" w:rsidRPr="001352EF">
        <w:rPr>
          <w:rFonts w:ascii="Garamond" w:eastAsia="Times New Roman" w:hAnsi="Garamond" w:cs="Times New Roman"/>
          <w:color w:val="1A1A1A"/>
          <w:shd w:val="clear" w:color="auto" w:fill="FFFFFF"/>
        </w:rPr>
        <w:t xml:space="preserve"> </w:t>
      </w:r>
      <w:r w:rsidRPr="001352EF">
        <w:rPr>
          <w:rFonts w:ascii="Garamond" w:eastAsia="Times New Roman" w:hAnsi="Garamond" w:cs="Times New Roman"/>
          <w:color w:val="1A1A1A"/>
          <w:shd w:val="clear" w:color="auto" w:fill="FFFFFF"/>
        </w:rPr>
        <w:t>(</w:t>
      </w:r>
      <w:r w:rsidR="00901A38" w:rsidRPr="001352EF">
        <w:rPr>
          <w:rFonts w:ascii="Garamond" w:eastAsia="Times New Roman" w:hAnsi="Garamond" w:cs="Times New Roman"/>
          <w:color w:val="1A1A1A"/>
          <w:shd w:val="clear" w:color="auto" w:fill="FFFFFF"/>
        </w:rPr>
        <w:t>Cambridge University Press</w:t>
      </w:r>
      <w:r w:rsidRPr="001352EF">
        <w:rPr>
          <w:rFonts w:ascii="Garamond" w:eastAsia="Times New Roman" w:hAnsi="Garamond" w:cs="Times New Roman"/>
          <w:color w:val="1A1A1A"/>
          <w:shd w:val="clear" w:color="auto" w:fill="FFFFFF"/>
        </w:rPr>
        <w:t>, 1969)</w:t>
      </w:r>
      <w:r w:rsidR="00901A38" w:rsidRPr="001352EF">
        <w:rPr>
          <w:rFonts w:ascii="Garamond" w:eastAsia="Times New Roman" w:hAnsi="Garamond" w:cs="Times New Roman"/>
          <w:color w:val="1A1A1A"/>
          <w:shd w:val="clear" w:color="auto" w:fill="FFFFFF"/>
        </w:rPr>
        <w:t>.</w:t>
      </w:r>
    </w:p>
    <w:p w14:paraId="5106D19A" w14:textId="77777777" w:rsidR="00901A38" w:rsidRPr="001352EF" w:rsidRDefault="00901A38" w:rsidP="00901A38">
      <w:pPr>
        <w:rPr>
          <w:rFonts w:ascii="Garamond" w:eastAsia="Times New Roman" w:hAnsi="Garamond" w:cs="Times New Roman"/>
          <w:color w:val="1A1A1A"/>
          <w:shd w:val="clear" w:color="auto" w:fill="FFFFFF"/>
        </w:rPr>
      </w:pPr>
    </w:p>
    <w:p w14:paraId="5D5D31C3" w14:textId="1F14C6AF" w:rsidR="00901A38" w:rsidRPr="001352EF" w:rsidRDefault="00901A38" w:rsidP="00901A38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James S. </w:t>
      </w:r>
      <w:proofErr w:type="spellStart"/>
      <w:r w:rsidRPr="001352EF">
        <w:rPr>
          <w:rFonts w:ascii="Garamond" w:hAnsi="Garamond"/>
        </w:rPr>
        <w:t>Romm</w:t>
      </w:r>
      <w:proofErr w:type="spellEnd"/>
      <w:r w:rsidRPr="001352EF">
        <w:rPr>
          <w:rFonts w:ascii="Garamond" w:hAnsi="Garamond"/>
        </w:rPr>
        <w:t xml:space="preserve">, </w:t>
      </w:r>
      <w:r w:rsidRPr="001352EF">
        <w:rPr>
          <w:rFonts w:ascii="Garamond" w:hAnsi="Garamond"/>
          <w:i/>
        </w:rPr>
        <w:t>Dying Every Day: Seneca at the Court of Nero</w:t>
      </w:r>
      <w:r w:rsidRPr="001352EF">
        <w:rPr>
          <w:rFonts w:ascii="Garamond" w:hAnsi="Garamond"/>
        </w:rPr>
        <w:t xml:space="preserve"> (Random House, 2014). </w:t>
      </w:r>
    </w:p>
    <w:p w14:paraId="35619CD3" w14:textId="7CCA0970" w:rsidR="008554CD" w:rsidRPr="001352EF" w:rsidRDefault="008554CD">
      <w:pPr>
        <w:rPr>
          <w:rFonts w:ascii="Garamond" w:hAnsi="Garamond"/>
        </w:rPr>
      </w:pPr>
    </w:p>
    <w:p w14:paraId="715C9C87" w14:textId="18F819DC" w:rsidR="00901A38" w:rsidRPr="001352EF" w:rsidRDefault="00FB1655" w:rsidP="00901A38">
      <w:pPr>
        <w:rPr>
          <w:rFonts w:ascii="Garamond" w:eastAsia="Times New Roman" w:hAnsi="Garamond" w:cs="Times New Roman"/>
        </w:rPr>
      </w:pPr>
      <w:r w:rsidRPr="001352EF">
        <w:rPr>
          <w:rFonts w:ascii="Garamond" w:eastAsia="Times New Roman" w:hAnsi="Garamond" w:cs="Arial"/>
          <w:color w:val="1A1A1A"/>
        </w:rPr>
        <w:t xml:space="preserve">Katja </w:t>
      </w:r>
      <w:r w:rsidR="00901A38" w:rsidRPr="001352EF">
        <w:rPr>
          <w:rFonts w:ascii="Garamond" w:eastAsia="Times New Roman" w:hAnsi="Garamond" w:cs="Arial"/>
          <w:color w:val="1A1A1A"/>
        </w:rPr>
        <w:t>Vogt, "Seneca", </w:t>
      </w:r>
      <w:r w:rsidR="00901A38" w:rsidRPr="001352EF">
        <w:rPr>
          <w:rFonts w:ascii="Garamond" w:eastAsia="Times New Roman" w:hAnsi="Garamond" w:cs="Arial"/>
          <w:i/>
          <w:iCs/>
          <w:color w:val="1A1A1A"/>
        </w:rPr>
        <w:t>The Stanford Encyclopedia of Philosophy </w:t>
      </w:r>
      <w:r w:rsidR="00901A38" w:rsidRPr="001352EF">
        <w:rPr>
          <w:rFonts w:ascii="Garamond" w:eastAsia="Times New Roman" w:hAnsi="Garamond" w:cs="Arial"/>
          <w:color w:val="1A1A1A"/>
        </w:rPr>
        <w:t xml:space="preserve">(Spring 2020 Edition), Edward N. </w:t>
      </w:r>
      <w:proofErr w:type="spellStart"/>
      <w:r w:rsidR="00901A38" w:rsidRPr="001352EF">
        <w:rPr>
          <w:rFonts w:ascii="Garamond" w:eastAsia="Times New Roman" w:hAnsi="Garamond" w:cs="Arial"/>
          <w:color w:val="1A1A1A"/>
        </w:rPr>
        <w:t>Zalta</w:t>
      </w:r>
      <w:proofErr w:type="spellEnd"/>
      <w:r w:rsidR="00901A38" w:rsidRPr="001352EF">
        <w:rPr>
          <w:rFonts w:ascii="Garamond" w:eastAsia="Times New Roman" w:hAnsi="Garamond" w:cs="Arial"/>
          <w:color w:val="1A1A1A"/>
        </w:rPr>
        <w:t> (ed.), URL = &lt;</w:t>
      </w:r>
      <w:hyperlink r:id="rId9" w:history="1">
        <w:r w:rsidR="00901A38" w:rsidRPr="00FD135F">
          <w:rPr>
            <w:rStyle w:val="Hyperlink"/>
            <w:rFonts w:ascii="Garamond" w:eastAsia="Times New Roman" w:hAnsi="Garamond" w:cs="Arial"/>
          </w:rPr>
          <w:t>https://plato.stanford.edu/archives/spr2020/entries/seneca/</w:t>
        </w:r>
      </w:hyperlink>
      <w:r w:rsidR="00901A38" w:rsidRPr="001352EF">
        <w:rPr>
          <w:rFonts w:ascii="Garamond" w:eastAsia="Times New Roman" w:hAnsi="Garamond" w:cs="Arial"/>
          <w:color w:val="1A1A1A"/>
        </w:rPr>
        <w:t>&gt;.</w:t>
      </w:r>
    </w:p>
    <w:p w14:paraId="6F60AFDA" w14:textId="08EDD351" w:rsidR="00DA40A4" w:rsidRPr="001352EF" w:rsidRDefault="00DA40A4">
      <w:pPr>
        <w:rPr>
          <w:rFonts w:ascii="Garamond" w:hAnsi="Garamond"/>
        </w:rPr>
      </w:pPr>
    </w:p>
    <w:p w14:paraId="26D09009" w14:textId="136A85B1" w:rsidR="00901A38" w:rsidRPr="001352EF" w:rsidRDefault="00901A38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Robert Wagoner, </w:t>
      </w:r>
      <w:r w:rsidRPr="001352EF">
        <w:rPr>
          <w:rFonts w:ascii="Garamond" w:hAnsi="Garamond"/>
          <w:i/>
        </w:rPr>
        <w:t xml:space="preserve">Lucius </w:t>
      </w:r>
      <w:proofErr w:type="spellStart"/>
      <w:r w:rsidRPr="001352EF">
        <w:rPr>
          <w:rFonts w:ascii="Garamond" w:hAnsi="Garamond"/>
          <w:i/>
        </w:rPr>
        <w:t>Annaeus</w:t>
      </w:r>
      <w:proofErr w:type="spellEnd"/>
      <w:r w:rsidRPr="001352EF">
        <w:rPr>
          <w:rFonts w:ascii="Garamond" w:hAnsi="Garamond"/>
          <w:i/>
        </w:rPr>
        <w:t xml:space="preserve"> Seneca</w:t>
      </w:r>
      <w:r w:rsidRPr="001352EF">
        <w:rPr>
          <w:rFonts w:ascii="Garamond" w:hAnsi="Garamond"/>
        </w:rPr>
        <w:t xml:space="preserve">, </w:t>
      </w:r>
      <w:r w:rsidRPr="001352EF">
        <w:rPr>
          <w:rFonts w:ascii="Garamond" w:hAnsi="Garamond"/>
          <w:i/>
        </w:rPr>
        <w:t>The Internet Encyclopedia of Philosophy</w:t>
      </w:r>
      <w:r w:rsidRPr="001352EF">
        <w:rPr>
          <w:rFonts w:ascii="Garamond" w:hAnsi="Garamond"/>
        </w:rPr>
        <w:t xml:space="preserve">, online at: </w:t>
      </w:r>
    </w:p>
    <w:p w14:paraId="7897A4A0" w14:textId="4CFD6CC5" w:rsidR="00901A38" w:rsidRPr="001352EF" w:rsidRDefault="009A0578">
      <w:pPr>
        <w:rPr>
          <w:rFonts w:ascii="Garamond" w:hAnsi="Garamond"/>
        </w:rPr>
      </w:pPr>
      <w:hyperlink r:id="rId10" w:history="1">
        <w:r w:rsidR="00901A38" w:rsidRPr="001352EF">
          <w:rPr>
            <w:rStyle w:val="Hyperlink"/>
            <w:rFonts w:ascii="Garamond" w:hAnsi="Garamond"/>
          </w:rPr>
          <w:t>https://www.iep.utm.edu/seneca/</w:t>
        </w:r>
      </w:hyperlink>
    </w:p>
    <w:p w14:paraId="4E4E344D" w14:textId="77777777" w:rsidR="00901A38" w:rsidRPr="001352EF" w:rsidRDefault="00901A38">
      <w:pPr>
        <w:rPr>
          <w:rFonts w:ascii="Garamond" w:hAnsi="Garamond"/>
        </w:rPr>
      </w:pPr>
    </w:p>
    <w:p w14:paraId="7B7AB855" w14:textId="3215F345" w:rsidR="00901A38" w:rsidRPr="001352EF" w:rsidRDefault="00DA40A4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Emily Wilson, </w:t>
      </w:r>
      <w:r w:rsidRPr="001352EF">
        <w:rPr>
          <w:rFonts w:ascii="Garamond" w:hAnsi="Garamond"/>
          <w:i/>
        </w:rPr>
        <w:t>The Greatest Empire: A Life of Seneca</w:t>
      </w:r>
      <w:r w:rsidRPr="001352EF">
        <w:rPr>
          <w:rFonts w:ascii="Garamond" w:hAnsi="Garamond"/>
        </w:rPr>
        <w:t xml:space="preserve"> (Oxford University Press, 2014). </w:t>
      </w:r>
    </w:p>
    <w:p w14:paraId="3A1460D0" w14:textId="77777777" w:rsidR="00901A38" w:rsidRPr="001352EF" w:rsidRDefault="00901A38">
      <w:pPr>
        <w:rPr>
          <w:rFonts w:ascii="Garamond" w:hAnsi="Garamond"/>
        </w:rPr>
      </w:pPr>
    </w:p>
    <w:p w14:paraId="19D731C1" w14:textId="59CF001E" w:rsidR="008554CD" w:rsidRDefault="008554CD">
      <w:pPr>
        <w:rPr>
          <w:rFonts w:ascii="Garamond" w:hAnsi="Garamond"/>
        </w:rPr>
      </w:pPr>
    </w:p>
    <w:p w14:paraId="7544665F" w14:textId="77777777" w:rsidR="001352EF" w:rsidRPr="001352EF" w:rsidRDefault="001352EF">
      <w:pPr>
        <w:rPr>
          <w:rFonts w:ascii="Garamond" w:hAnsi="Garamond"/>
        </w:rPr>
      </w:pPr>
    </w:p>
    <w:p w14:paraId="3A3A6D57" w14:textId="77777777" w:rsidR="008554CD" w:rsidRPr="001352EF" w:rsidRDefault="008554CD" w:rsidP="008554CD">
      <w:pPr>
        <w:jc w:val="center"/>
        <w:rPr>
          <w:rFonts w:ascii="Garamond" w:hAnsi="Garamond"/>
          <w:b/>
        </w:rPr>
      </w:pPr>
      <w:r w:rsidRPr="001352EF">
        <w:rPr>
          <w:rFonts w:ascii="Garamond" w:hAnsi="Garamond"/>
          <w:b/>
        </w:rPr>
        <w:t>Tentative Schedule</w:t>
      </w:r>
    </w:p>
    <w:p w14:paraId="6E817493" w14:textId="77777777" w:rsidR="008554CD" w:rsidRPr="001352EF" w:rsidRDefault="008554CD" w:rsidP="008554CD">
      <w:pPr>
        <w:jc w:val="center"/>
        <w:rPr>
          <w:rFonts w:ascii="Garamond" w:hAnsi="Garamond"/>
          <w:b/>
        </w:rPr>
      </w:pPr>
    </w:p>
    <w:p w14:paraId="776220A9" w14:textId="77777777" w:rsidR="008554CD" w:rsidRPr="001352EF" w:rsidRDefault="008554CD" w:rsidP="008554CD">
      <w:pPr>
        <w:rPr>
          <w:rFonts w:ascii="Garamond" w:hAnsi="Garamond"/>
        </w:rPr>
      </w:pPr>
    </w:p>
    <w:p w14:paraId="7C0993C1" w14:textId="1EB7E4DE" w:rsidR="006D6CAB" w:rsidRPr="001352EF" w:rsidRDefault="008554CD" w:rsidP="008554CD">
      <w:pPr>
        <w:jc w:val="center"/>
        <w:rPr>
          <w:rFonts w:ascii="Garamond" w:hAnsi="Garamond"/>
        </w:rPr>
      </w:pPr>
      <w:r w:rsidRPr="001352EF">
        <w:rPr>
          <w:rFonts w:ascii="Garamond" w:hAnsi="Garamond"/>
        </w:rPr>
        <w:t xml:space="preserve">Latin text links are to: </w:t>
      </w:r>
      <w:r w:rsidR="006D6CAB" w:rsidRPr="001352EF">
        <w:rPr>
          <w:rFonts w:ascii="Garamond" w:hAnsi="Garamond"/>
        </w:rPr>
        <w:t>Loeb Classical Library digital editions</w:t>
      </w:r>
      <w:r w:rsidR="00FB1655" w:rsidRPr="001352EF">
        <w:rPr>
          <w:rFonts w:ascii="Garamond" w:hAnsi="Garamond"/>
        </w:rPr>
        <w:t xml:space="preserve">, Richard M </w:t>
      </w:r>
      <w:proofErr w:type="spellStart"/>
      <w:r w:rsidR="00FB1655" w:rsidRPr="001352EF">
        <w:rPr>
          <w:rFonts w:ascii="Garamond" w:hAnsi="Garamond"/>
        </w:rPr>
        <w:t>Gummere</w:t>
      </w:r>
      <w:proofErr w:type="spellEnd"/>
      <w:r w:rsidR="00FB1655" w:rsidRPr="001352EF">
        <w:rPr>
          <w:rFonts w:ascii="Garamond" w:hAnsi="Garamond"/>
        </w:rPr>
        <w:t xml:space="preserve"> trans.:</w:t>
      </w:r>
    </w:p>
    <w:p w14:paraId="1EADB9CA" w14:textId="2AAB6D1A" w:rsidR="008554CD" w:rsidRPr="001352EF" w:rsidRDefault="006D6CAB" w:rsidP="006D6CAB">
      <w:pPr>
        <w:jc w:val="center"/>
        <w:rPr>
          <w:rFonts w:ascii="Garamond" w:hAnsi="Garamond"/>
        </w:rPr>
      </w:pPr>
      <w:r w:rsidRPr="001352EF">
        <w:rPr>
          <w:rFonts w:ascii="Garamond" w:hAnsi="Garamond"/>
        </w:rPr>
        <w:t xml:space="preserve">Seneca, </w:t>
      </w:r>
      <w:hyperlink r:id="rId11" w:history="1">
        <w:r w:rsidRPr="001352EF">
          <w:rPr>
            <w:rStyle w:val="Hyperlink"/>
            <w:rFonts w:ascii="Garamond" w:hAnsi="Garamond"/>
            <w:i/>
          </w:rPr>
          <w:t>Epistles</w:t>
        </w:r>
        <w:r w:rsidRPr="001352EF">
          <w:rPr>
            <w:rStyle w:val="Hyperlink"/>
            <w:rFonts w:ascii="Garamond" w:hAnsi="Garamond"/>
          </w:rPr>
          <w:t xml:space="preserve"> 1-65</w:t>
        </w:r>
      </w:hyperlink>
      <w:r w:rsidRPr="001352EF">
        <w:rPr>
          <w:rFonts w:ascii="Garamond" w:hAnsi="Garamond"/>
        </w:rPr>
        <w:t xml:space="preserve">, </w:t>
      </w:r>
    </w:p>
    <w:p w14:paraId="0D853A51" w14:textId="5EBEBCE3" w:rsidR="006D6CAB" w:rsidRPr="001352EF" w:rsidRDefault="006D6CAB" w:rsidP="006D6CAB">
      <w:pPr>
        <w:jc w:val="center"/>
        <w:rPr>
          <w:rFonts w:ascii="Garamond" w:hAnsi="Garamond"/>
          <w:bCs/>
        </w:rPr>
      </w:pPr>
      <w:r w:rsidRPr="001352EF">
        <w:rPr>
          <w:rFonts w:ascii="Garamond" w:hAnsi="Garamond"/>
          <w:bCs/>
        </w:rPr>
        <w:t xml:space="preserve">Seneca, </w:t>
      </w:r>
      <w:hyperlink r:id="rId12" w:history="1">
        <w:r w:rsidRPr="001352EF">
          <w:rPr>
            <w:rStyle w:val="Hyperlink"/>
            <w:rFonts w:ascii="Garamond" w:hAnsi="Garamond"/>
            <w:bCs/>
            <w:i/>
          </w:rPr>
          <w:t>Epistles</w:t>
        </w:r>
        <w:r w:rsidRPr="001352EF">
          <w:rPr>
            <w:rStyle w:val="Hyperlink"/>
            <w:rFonts w:ascii="Garamond" w:hAnsi="Garamond"/>
            <w:bCs/>
          </w:rPr>
          <w:t xml:space="preserve"> 66-92</w:t>
        </w:r>
      </w:hyperlink>
      <w:r w:rsidRPr="001352EF">
        <w:rPr>
          <w:rFonts w:ascii="Garamond" w:hAnsi="Garamond"/>
          <w:bCs/>
          <w:i/>
        </w:rPr>
        <w:t>,</w:t>
      </w:r>
    </w:p>
    <w:p w14:paraId="330EF0EA" w14:textId="437CBC47" w:rsidR="006D6CAB" w:rsidRPr="001352EF" w:rsidRDefault="006D6CAB" w:rsidP="006D6CAB">
      <w:pPr>
        <w:jc w:val="center"/>
        <w:rPr>
          <w:rFonts w:ascii="Garamond" w:hAnsi="Garamond"/>
          <w:bCs/>
        </w:rPr>
      </w:pPr>
      <w:r w:rsidRPr="001352EF">
        <w:rPr>
          <w:rFonts w:ascii="Garamond" w:hAnsi="Garamond"/>
          <w:bCs/>
        </w:rPr>
        <w:t xml:space="preserve">Seneca, </w:t>
      </w:r>
      <w:hyperlink r:id="rId13" w:history="1">
        <w:r w:rsidRPr="001352EF">
          <w:rPr>
            <w:rStyle w:val="Hyperlink"/>
            <w:rFonts w:ascii="Garamond" w:hAnsi="Garamond"/>
            <w:bCs/>
            <w:i/>
          </w:rPr>
          <w:t>Epistles</w:t>
        </w:r>
        <w:r w:rsidRPr="001352EF">
          <w:rPr>
            <w:rStyle w:val="Hyperlink"/>
            <w:rFonts w:ascii="Garamond" w:hAnsi="Garamond"/>
            <w:bCs/>
          </w:rPr>
          <w:t xml:space="preserve"> 93-124</w:t>
        </w:r>
      </w:hyperlink>
    </w:p>
    <w:p w14:paraId="4450B8A0" w14:textId="67C7BE65" w:rsidR="006D6CAB" w:rsidRPr="001352EF" w:rsidRDefault="006D6CAB" w:rsidP="006D6CAB">
      <w:pPr>
        <w:jc w:val="center"/>
        <w:rPr>
          <w:rFonts w:ascii="Garamond" w:hAnsi="Garamond"/>
          <w:b/>
        </w:rPr>
      </w:pPr>
    </w:p>
    <w:p w14:paraId="74E01496" w14:textId="77777777" w:rsidR="006D6CAB" w:rsidRPr="001352EF" w:rsidRDefault="006D6CAB" w:rsidP="006D6CAB">
      <w:pPr>
        <w:jc w:val="center"/>
        <w:rPr>
          <w:rFonts w:ascii="Garamond" w:hAnsi="Garamond"/>
          <w:b/>
        </w:rPr>
      </w:pPr>
    </w:p>
    <w:p w14:paraId="417E12A9" w14:textId="77777777" w:rsidR="00241759" w:rsidRPr="001352EF" w:rsidRDefault="00241759" w:rsidP="008554CD">
      <w:pPr>
        <w:rPr>
          <w:rFonts w:ascii="Garamond" w:hAnsi="Garamond"/>
          <w:b/>
        </w:rPr>
      </w:pPr>
    </w:p>
    <w:p w14:paraId="09BD2B77" w14:textId="5C1844CB" w:rsidR="008554CD" w:rsidRPr="001352EF" w:rsidRDefault="001352EF" w:rsidP="008554CD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  <w:r w:rsidR="008554CD" w:rsidRPr="001352EF">
        <w:rPr>
          <w:rFonts w:ascii="Garamond" w:hAnsi="Garamond"/>
          <w:b/>
        </w:rPr>
        <w:lastRenderedPageBreak/>
        <w:t xml:space="preserve">Reading #1: </w:t>
      </w:r>
      <w:r w:rsidR="004938E0" w:rsidRPr="001352EF">
        <w:rPr>
          <w:rFonts w:ascii="Garamond" w:hAnsi="Garamond"/>
          <w:b/>
        </w:rPr>
        <w:t>Letter 58 – On Being</w:t>
      </w:r>
    </w:p>
    <w:p w14:paraId="393926BC" w14:textId="77777777" w:rsidR="008554CD" w:rsidRPr="001352EF" w:rsidRDefault="008554CD" w:rsidP="008554CD">
      <w:pPr>
        <w:rPr>
          <w:rFonts w:ascii="Garamond" w:hAnsi="Garamond"/>
        </w:rPr>
      </w:pPr>
    </w:p>
    <w:p w14:paraId="608FBE1B" w14:textId="70CAB652" w:rsidR="008554CD" w:rsidRPr="001352EF" w:rsidRDefault="008554CD" w:rsidP="008554CD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Broader context: </w:t>
      </w:r>
      <w:hyperlink r:id="rId14" w:history="1">
        <w:r w:rsidR="004938E0" w:rsidRPr="001352EF">
          <w:rPr>
            <w:rStyle w:val="Hyperlink"/>
            <w:rFonts w:ascii="Garamond" w:hAnsi="Garamond"/>
          </w:rPr>
          <w:t>Letter 58</w:t>
        </w:r>
      </w:hyperlink>
    </w:p>
    <w:p w14:paraId="057CFA6A" w14:textId="77777777" w:rsidR="008554CD" w:rsidRPr="001352EF" w:rsidRDefault="008554CD" w:rsidP="008554CD">
      <w:pPr>
        <w:rPr>
          <w:rFonts w:ascii="Garamond" w:hAnsi="Garamond"/>
        </w:rPr>
      </w:pPr>
    </w:p>
    <w:p w14:paraId="269F5780" w14:textId="12C77FC1" w:rsidR="008554CD" w:rsidRPr="001352EF" w:rsidRDefault="008554CD" w:rsidP="008554CD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Latin reading: </w:t>
      </w:r>
      <w:r w:rsidR="00A006F8" w:rsidRPr="001352EF">
        <w:rPr>
          <w:rFonts w:ascii="Garamond" w:hAnsi="Garamond"/>
        </w:rPr>
        <w:t>Paragraphs</w:t>
      </w:r>
      <w:r w:rsidR="006D6CAB" w:rsidRPr="001352EF">
        <w:rPr>
          <w:rFonts w:ascii="Garamond" w:hAnsi="Garamond"/>
        </w:rPr>
        <w:t xml:space="preserve"> 2</w:t>
      </w:r>
      <w:r w:rsidR="00684D8F" w:rsidRPr="001352EF">
        <w:rPr>
          <w:rFonts w:ascii="Garamond" w:hAnsi="Garamond"/>
        </w:rPr>
        <w:t>5</w:t>
      </w:r>
      <w:r w:rsidR="006D6CAB" w:rsidRPr="001352EF">
        <w:rPr>
          <w:rFonts w:ascii="Garamond" w:hAnsi="Garamond"/>
        </w:rPr>
        <w:t>-34</w:t>
      </w:r>
      <w:r w:rsidRPr="001352EF">
        <w:rPr>
          <w:rFonts w:ascii="Garamond" w:hAnsi="Garamond"/>
        </w:rPr>
        <w:t xml:space="preserve"> </w:t>
      </w:r>
    </w:p>
    <w:p w14:paraId="49EC9CAC" w14:textId="1F0A464A" w:rsidR="008554CD" w:rsidRPr="001352EF" w:rsidRDefault="008554CD" w:rsidP="008554CD">
      <w:pPr>
        <w:rPr>
          <w:rFonts w:ascii="Garamond" w:hAnsi="Garamond"/>
        </w:rPr>
      </w:pPr>
    </w:p>
    <w:p w14:paraId="6837586D" w14:textId="59C51DC8" w:rsidR="00EF51E8" w:rsidRPr="001352EF" w:rsidRDefault="00EF51E8" w:rsidP="008554CD">
      <w:pPr>
        <w:rPr>
          <w:rFonts w:ascii="Garamond" w:hAnsi="Garamond"/>
        </w:rPr>
      </w:pPr>
      <w:r w:rsidRPr="001352EF">
        <w:rPr>
          <w:rFonts w:ascii="Garamond" w:hAnsi="Garamond"/>
        </w:rPr>
        <w:t>Commentary: Inwood, pp. 111-136</w:t>
      </w:r>
    </w:p>
    <w:p w14:paraId="7A14775E" w14:textId="77777777" w:rsidR="00EF51E8" w:rsidRPr="001352EF" w:rsidRDefault="00EF51E8" w:rsidP="008554CD">
      <w:pPr>
        <w:rPr>
          <w:rFonts w:ascii="Garamond" w:hAnsi="Garamond"/>
        </w:rPr>
      </w:pPr>
    </w:p>
    <w:p w14:paraId="15433DCA" w14:textId="77777777" w:rsidR="008554CD" w:rsidRPr="001352EF" w:rsidRDefault="008554CD" w:rsidP="008554CD">
      <w:pPr>
        <w:rPr>
          <w:rFonts w:ascii="Garamond" w:hAnsi="Garamond"/>
        </w:rPr>
      </w:pPr>
    </w:p>
    <w:p w14:paraId="4FA636EA" w14:textId="21539866" w:rsidR="008554CD" w:rsidRPr="001352EF" w:rsidRDefault="008554CD" w:rsidP="008554CD">
      <w:pPr>
        <w:rPr>
          <w:rFonts w:ascii="Garamond" w:hAnsi="Garamond"/>
          <w:b/>
        </w:rPr>
      </w:pPr>
      <w:r w:rsidRPr="001352EF">
        <w:rPr>
          <w:rFonts w:ascii="Garamond" w:hAnsi="Garamond"/>
          <w:b/>
        </w:rPr>
        <w:t>Reading #2: L</w:t>
      </w:r>
      <w:r w:rsidR="00EF51E8" w:rsidRPr="001352EF">
        <w:rPr>
          <w:rFonts w:ascii="Garamond" w:hAnsi="Garamond"/>
          <w:b/>
        </w:rPr>
        <w:t>etter</w:t>
      </w:r>
      <w:r w:rsidRPr="001352EF">
        <w:rPr>
          <w:rFonts w:ascii="Garamond" w:hAnsi="Garamond"/>
          <w:b/>
        </w:rPr>
        <w:t xml:space="preserve"> </w:t>
      </w:r>
      <w:r w:rsidR="00EF51E8" w:rsidRPr="001352EF">
        <w:rPr>
          <w:rFonts w:ascii="Garamond" w:hAnsi="Garamond"/>
          <w:b/>
        </w:rPr>
        <w:t xml:space="preserve">65 – On the First Cause </w:t>
      </w:r>
      <w:r w:rsidRPr="001352EF">
        <w:rPr>
          <w:rFonts w:ascii="Garamond" w:hAnsi="Garamond"/>
          <w:b/>
        </w:rPr>
        <w:t xml:space="preserve"> </w:t>
      </w:r>
    </w:p>
    <w:p w14:paraId="36958241" w14:textId="77777777" w:rsidR="008554CD" w:rsidRPr="001352EF" w:rsidRDefault="008554CD" w:rsidP="008554CD">
      <w:pPr>
        <w:rPr>
          <w:rFonts w:ascii="Garamond" w:hAnsi="Garamond"/>
        </w:rPr>
      </w:pPr>
    </w:p>
    <w:p w14:paraId="20B2C9E3" w14:textId="69AD0B18" w:rsidR="008554CD" w:rsidRPr="001352EF" w:rsidRDefault="008554CD" w:rsidP="008554CD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Broader context: </w:t>
      </w:r>
      <w:hyperlink r:id="rId15" w:history="1">
        <w:r w:rsidR="00EF51E8" w:rsidRPr="001352EF">
          <w:rPr>
            <w:rStyle w:val="Hyperlink"/>
            <w:rFonts w:ascii="Garamond" w:hAnsi="Garamond"/>
          </w:rPr>
          <w:t>Letter 65</w:t>
        </w:r>
      </w:hyperlink>
    </w:p>
    <w:p w14:paraId="05F7CDE1" w14:textId="77777777" w:rsidR="008554CD" w:rsidRPr="001352EF" w:rsidRDefault="008554CD" w:rsidP="008554CD">
      <w:pPr>
        <w:rPr>
          <w:rFonts w:ascii="Garamond" w:hAnsi="Garamond"/>
        </w:rPr>
      </w:pPr>
    </w:p>
    <w:p w14:paraId="0EA1DE00" w14:textId="43BAEB44" w:rsidR="008554CD" w:rsidRPr="001352EF" w:rsidRDefault="008554CD" w:rsidP="008554CD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Latin reading: </w:t>
      </w:r>
      <w:r w:rsidR="00A006F8" w:rsidRPr="001352EF">
        <w:rPr>
          <w:rFonts w:ascii="Garamond" w:hAnsi="Garamond"/>
        </w:rPr>
        <w:t xml:space="preserve">Paragraphs </w:t>
      </w:r>
      <w:r w:rsidR="00EF51E8" w:rsidRPr="001352EF">
        <w:rPr>
          <w:rFonts w:ascii="Garamond" w:hAnsi="Garamond"/>
        </w:rPr>
        <w:t>11-</w:t>
      </w:r>
      <w:r w:rsidR="00EF51E8" w:rsidRPr="00511447">
        <w:rPr>
          <w:rFonts w:ascii="Garamond" w:hAnsi="Garamond"/>
        </w:rPr>
        <w:t>14, 1</w:t>
      </w:r>
      <w:r w:rsidR="00511447" w:rsidRPr="00511447">
        <w:rPr>
          <w:rFonts w:ascii="Garamond" w:hAnsi="Garamond"/>
        </w:rPr>
        <w:t>8</w:t>
      </w:r>
      <w:r w:rsidR="00EF51E8" w:rsidRPr="00511447">
        <w:rPr>
          <w:rFonts w:ascii="Garamond" w:hAnsi="Garamond"/>
        </w:rPr>
        <w:t>-24</w:t>
      </w:r>
    </w:p>
    <w:p w14:paraId="72CE4E62" w14:textId="3251B018" w:rsidR="008554CD" w:rsidRPr="001352EF" w:rsidRDefault="008554CD" w:rsidP="008554CD">
      <w:pPr>
        <w:rPr>
          <w:rFonts w:ascii="Garamond" w:hAnsi="Garamond"/>
        </w:rPr>
      </w:pPr>
    </w:p>
    <w:p w14:paraId="7E69242A" w14:textId="049EC3AB" w:rsidR="00EF51E8" w:rsidRPr="001352EF" w:rsidRDefault="00EF51E8" w:rsidP="00EF51E8">
      <w:pPr>
        <w:rPr>
          <w:rFonts w:ascii="Garamond" w:hAnsi="Garamond"/>
        </w:rPr>
      </w:pPr>
      <w:r w:rsidRPr="001352EF">
        <w:rPr>
          <w:rFonts w:ascii="Garamond" w:hAnsi="Garamond"/>
        </w:rPr>
        <w:t>Commentary: Inwood, pp. 136-155</w:t>
      </w:r>
    </w:p>
    <w:p w14:paraId="02DD49E9" w14:textId="77777777" w:rsidR="00EF51E8" w:rsidRPr="001352EF" w:rsidRDefault="00EF51E8" w:rsidP="008554CD">
      <w:pPr>
        <w:rPr>
          <w:rFonts w:ascii="Garamond" w:hAnsi="Garamond"/>
        </w:rPr>
      </w:pPr>
    </w:p>
    <w:p w14:paraId="6FA20221" w14:textId="7E3438B2" w:rsidR="008554CD" w:rsidRPr="001352EF" w:rsidRDefault="008554CD" w:rsidP="008554CD">
      <w:pPr>
        <w:rPr>
          <w:rFonts w:ascii="Garamond" w:hAnsi="Garamond"/>
          <w:b/>
        </w:rPr>
      </w:pPr>
    </w:p>
    <w:p w14:paraId="638A177D" w14:textId="08089D5F" w:rsidR="00721A9E" w:rsidRPr="001352EF" w:rsidRDefault="00721A9E" w:rsidP="00721A9E">
      <w:pPr>
        <w:rPr>
          <w:rFonts w:ascii="Garamond" w:hAnsi="Garamond"/>
          <w:b/>
        </w:rPr>
      </w:pPr>
      <w:r w:rsidRPr="001352EF">
        <w:rPr>
          <w:rFonts w:ascii="Garamond" w:hAnsi="Garamond"/>
          <w:b/>
        </w:rPr>
        <w:t>Reading #3: Letter 66 – On Various Aspects of Virtue</w:t>
      </w:r>
    </w:p>
    <w:p w14:paraId="43B40322" w14:textId="77777777" w:rsidR="00721A9E" w:rsidRPr="001352EF" w:rsidRDefault="00721A9E" w:rsidP="00721A9E">
      <w:pPr>
        <w:rPr>
          <w:rFonts w:ascii="Garamond" w:hAnsi="Garamond"/>
        </w:rPr>
      </w:pPr>
    </w:p>
    <w:p w14:paraId="6BE8F854" w14:textId="5A2AB72C" w:rsidR="00721A9E" w:rsidRPr="001352EF" w:rsidRDefault="00721A9E" w:rsidP="00721A9E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Broader context: </w:t>
      </w:r>
      <w:hyperlink r:id="rId16" w:history="1">
        <w:r w:rsidRPr="001352EF">
          <w:rPr>
            <w:rStyle w:val="Hyperlink"/>
            <w:rFonts w:ascii="Garamond" w:hAnsi="Garamond"/>
          </w:rPr>
          <w:t>Letter 66</w:t>
        </w:r>
      </w:hyperlink>
    </w:p>
    <w:p w14:paraId="638BAB92" w14:textId="77777777" w:rsidR="00721A9E" w:rsidRPr="001352EF" w:rsidRDefault="00721A9E" w:rsidP="00721A9E">
      <w:pPr>
        <w:rPr>
          <w:rFonts w:ascii="Garamond" w:hAnsi="Garamond"/>
        </w:rPr>
      </w:pPr>
    </w:p>
    <w:p w14:paraId="0041E007" w14:textId="7BC523EC" w:rsidR="00721A9E" w:rsidRPr="001352EF" w:rsidRDefault="00721A9E" w:rsidP="00721A9E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Latin reading: </w:t>
      </w:r>
      <w:r w:rsidR="00A006F8" w:rsidRPr="001352EF">
        <w:rPr>
          <w:rFonts w:ascii="Garamond" w:hAnsi="Garamond"/>
        </w:rPr>
        <w:t xml:space="preserve">Paragraphs </w:t>
      </w:r>
      <w:r w:rsidRPr="001352EF">
        <w:rPr>
          <w:rFonts w:ascii="Garamond" w:hAnsi="Garamond"/>
        </w:rPr>
        <w:t>1</w:t>
      </w:r>
      <w:r w:rsidR="00452850">
        <w:rPr>
          <w:rFonts w:ascii="Garamond" w:hAnsi="Garamond"/>
        </w:rPr>
        <w:t>2</w:t>
      </w:r>
      <w:r w:rsidRPr="001352EF">
        <w:rPr>
          <w:rFonts w:ascii="Garamond" w:hAnsi="Garamond"/>
        </w:rPr>
        <w:t>-</w:t>
      </w:r>
      <w:r w:rsidR="00462409">
        <w:rPr>
          <w:rFonts w:ascii="Garamond" w:hAnsi="Garamond"/>
        </w:rPr>
        <w:t>20</w:t>
      </w:r>
    </w:p>
    <w:p w14:paraId="7A3C13CD" w14:textId="77777777" w:rsidR="00721A9E" w:rsidRPr="001352EF" w:rsidRDefault="00721A9E" w:rsidP="00721A9E">
      <w:pPr>
        <w:rPr>
          <w:rFonts w:ascii="Garamond" w:hAnsi="Garamond"/>
        </w:rPr>
      </w:pPr>
    </w:p>
    <w:p w14:paraId="6DD0A691" w14:textId="796C6064" w:rsidR="00721A9E" w:rsidRPr="001352EF" w:rsidRDefault="00721A9E" w:rsidP="00721A9E">
      <w:pPr>
        <w:rPr>
          <w:rFonts w:ascii="Garamond" w:hAnsi="Garamond"/>
        </w:rPr>
      </w:pPr>
      <w:r w:rsidRPr="001352EF">
        <w:rPr>
          <w:rFonts w:ascii="Garamond" w:hAnsi="Garamond"/>
        </w:rPr>
        <w:t>Commentary: Inwood, pp. 155-181</w:t>
      </w:r>
    </w:p>
    <w:p w14:paraId="78930414" w14:textId="77777777" w:rsidR="00721A9E" w:rsidRPr="001352EF" w:rsidRDefault="00721A9E" w:rsidP="00721A9E">
      <w:pPr>
        <w:rPr>
          <w:rFonts w:ascii="Garamond" w:hAnsi="Garamond"/>
        </w:rPr>
      </w:pPr>
    </w:p>
    <w:p w14:paraId="34700611" w14:textId="48A58853" w:rsidR="00EF51E8" w:rsidRPr="001352EF" w:rsidRDefault="00EF51E8" w:rsidP="008554CD">
      <w:pPr>
        <w:rPr>
          <w:rFonts w:ascii="Garamond" w:hAnsi="Garamond"/>
          <w:b/>
        </w:rPr>
      </w:pPr>
    </w:p>
    <w:p w14:paraId="7F2233AE" w14:textId="47E11719" w:rsidR="00376DD9" w:rsidRPr="001352EF" w:rsidRDefault="00376DD9" w:rsidP="00376DD9">
      <w:pPr>
        <w:rPr>
          <w:rFonts w:ascii="Garamond" w:hAnsi="Garamond"/>
          <w:b/>
        </w:rPr>
      </w:pPr>
      <w:r w:rsidRPr="001352EF">
        <w:rPr>
          <w:rFonts w:ascii="Garamond" w:hAnsi="Garamond"/>
          <w:b/>
        </w:rPr>
        <w:t xml:space="preserve">Reading #4: Letter </w:t>
      </w:r>
      <w:r w:rsidR="000F5556">
        <w:rPr>
          <w:rFonts w:ascii="Garamond" w:hAnsi="Garamond"/>
          <w:b/>
        </w:rPr>
        <w:t>71</w:t>
      </w:r>
      <w:r w:rsidRPr="001352EF">
        <w:rPr>
          <w:rFonts w:ascii="Garamond" w:hAnsi="Garamond"/>
          <w:b/>
        </w:rPr>
        <w:t xml:space="preserve"> – On the Supreme Good</w:t>
      </w:r>
    </w:p>
    <w:p w14:paraId="5E25A93F" w14:textId="77777777" w:rsidR="00376DD9" w:rsidRPr="001352EF" w:rsidRDefault="00376DD9" w:rsidP="00376DD9">
      <w:pPr>
        <w:rPr>
          <w:rFonts w:ascii="Garamond" w:hAnsi="Garamond"/>
        </w:rPr>
      </w:pPr>
    </w:p>
    <w:p w14:paraId="65DACCA5" w14:textId="0725D848" w:rsidR="00376DD9" w:rsidRPr="001352EF" w:rsidRDefault="00376DD9" w:rsidP="00376DD9">
      <w:pPr>
        <w:rPr>
          <w:rFonts w:ascii="Garamond" w:hAnsi="Garamond"/>
        </w:rPr>
      </w:pPr>
      <w:r w:rsidRPr="001352EF">
        <w:rPr>
          <w:rFonts w:ascii="Garamond" w:hAnsi="Garamond"/>
        </w:rPr>
        <w:t>Broader context:</w:t>
      </w:r>
      <w:r w:rsidR="00DA7DF7" w:rsidRPr="001352EF">
        <w:rPr>
          <w:rFonts w:ascii="Garamond" w:hAnsi="Garamond"/>
        </w:rPr>
        <w:t xml:space="preserve"> </w:t>
      </w:r>
      <w:hyperlink r:id="rId17" w:history="1">
        <w:r w:rsidR="00DA7DF7" w:rsidRPr="001352EF">
          <w:rPr>
            <w:rStyle w:val="Hyperlink"/>
            <w:rFonts w:ascii="Garamond" w:hAnsi="Garamond"/>
          </w:rPr>
          <w:t>Letter 71</w:t>
        </w:r>
      </w:hyperlink>
      <w:r w:rsidR="00DA7DF7" w:rsidRPr="001352EF">
        <w:rPr>
          <w:rFonts w:ascii="Garamond" w:hAnsi="Garamond"/>
        </w:rPr>
        <w:t xml:space="preserve"> </w:t>
      </w:r>
    </w:p>
    <w:p w14:paraId="15E9D253" w14:textId="77777777" w:rsidR="00376DD9" w:rsidRPr="001352EF" w:rsidRDefault="00376DD9" w:rsidP="00376DD9">
      <w:pPr>
        <w:rPr>
          <w:rFonts w:ascii="Garamond" w:hAnsi="Garamond"/>
        </w:rPr>
      </w:pPr>
    </w:p>
    <w:p w14:paraId="463681B5" w14:textId="4CF2D785" w:rsidR="00376DD9" w:rsidRPr="001352EF" w:rsidRDefault="00376DD9" w:rsidP="00376DD9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Latin reading: </w:t>
      </w:r>
      <w:r w:rsidR="00A006F8" w:rsidRPr="001352EF">
        <w:rPr>
          <w:rFonts w:ascii="Garamond" w:hAnsi="Garamond"/>
        </w:rPr>
        <w:t xml:space="preserve">Paragraphs </w:t>
      </w:r>
      <w:r w:rsidR="00DA7DF7" w:rsidRPr="001352EF">
        <w:rPr>
          <w:rFonts w:ascii="Garamond" w:hAnsi="Garamond"/>
        </w:rPr>
        <w:t>2-8, 26-28</w:t>
      </w:r>
    </w:p>
    <w:p w14:paraId="341AE880" w14:textId="77777777" w:rsidR="00376DD9" w:rsidRPr="001352EF" w:rsidRDefault="00376DD9" w:rsidP="00376DD9">
      <w:pPr>
        <w:rPr>
          <w:rFonts w:ascii="Garamond" w:hAnsi="Garamond"/>
        </w:rPr>
      </w:pPr>
    </w:p>
    <w:p w14:paraId="075657FC" w14:textId="31800063" w:rsidR="00376DD9" w:rsidRPr="001352EF" w:rsidRDefault="00376DD9" w:rsidP="00376DD9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Commentary: Inwood, pp. </w:t>
      </w:r>
      <w:r w:rsidR="00DA7DF7" w:rsidRPr="001352EF">
        <w:rPr>
          <w:rFonts w:ascii="Garamond" w:hAnsi="Garamond"/>
        </w:rPr>
        <w:t>183-200</w:t>
      </w:r>
    </w:p>
    <w:p w14:paraId="7AC1114C" w14:textId="2E6715D1" w:rsidR="00376DD9" w:rsidRPr="001352EF" w:rsidRDefault="00376DD9" w:rsidP="008554CD">
      <w:pPr>
        <w:rPr>
          <w:rFonts w:ascii="Garamond" w:hAnsi="Garamond"/>
          <w:b/>
        </w:rPr>
      </w:pPr>
    </w:p>
    <w:p w14:paraId="43BCC7D2" w14:textId="77777777" w:rsidR="00DA7DF7" w:rsidRPr="001352EF" w:rsidRDefault="00DA7DF7" w:rsidP="008554CD">
      <w:pPr>
        <w:rPr>
          <w:rFonts w:ascii="Garamond" w:hAnsi="Garamond"/>
          <w:b/>
        </w:rPr>
      </w:pPr>
    </w:p>
    <w:p w14:paraId="725BE69D" w14:textId="757683EB" w:rsidR="00EF51E8" w:rsidRPr="001352EF" w:rsidRDefault="000C6F68" w:rsidP="008554CD">
      <w:pPr>
        <w:rPr>
          <w:rFonts w:ascii="Garamond" w:hAnsi="Garamond"/>
          <w:b/>
        </w:rPr>
      </w:pPr>
      <w:r w:rsidRPr="001352EF">
        <w:rPr>
          <w:rFonts w:ascii="Garamond" w:hAnsi="Garamond"/>
          <w:b/>
        </w:rPr>
        <w:t xml:space="preserve">Reading #5: </w:t>
      </w:r>
      <w:r w:rsidR="00EF51E8" w:rsidRPr="001352EF">
        <w:rPr>
          <w:rFonts w:ascii="Garamond" w:hAnsi="Garamond"/>
          <w:b/>
        </w:rPr>
        <w:t xml:space="preserve">L 76 – On </w:t>
      </w:r>
      <w:r w:rsidR="00FD135F">
        <w:rPr>
          <w:rFonts w:ascii="Garamond" w:hAnsi="Garamond"/>
          <w:b/>
        </w:rPr>
        <w:t>L</w:t>
      </w:r>
      <w:r w:rsidR="00EF51E8" w:rsidRPr="001352EF">
        <w:rPr>
          <w:rFonts w:ascii="Garamond" w:hAnsi="Garamond"/>
          <w:b/>
        </w:rPr>
        <w:t xml:space="preserve">earning </w:t>
      </w:r>
      <w:r w:rsidR="00FD135F">
        <w:rPr>
          <w:rFonts w:ascii="Garamond" w:hAnsi="Garamond"/>
          <w:b/>
        </w:rPr>
        <w:t>W</w:t>
      </w:r>
      <w:r w:rsidR="00EF51E8" w:rsidRPr="001352EF">
        <w:rPr>
          <w:rFonts w:ascii="Garamond" w:hAnsi="Garamond"/>
          <w:b/>
        </w:rPr>
        <w:t xml:space="preserve">isdom in </w:t>
      </w:r>
      <w:r w:rsidR="00FD135F">
        <w:rPr>
          <w:rFonts w:ascii="Garamond" w:hAnsi="Garamond"/>
          <w:b/>
        </w:rPr>
        <w:t>O</w:t>
      </w:r>
      <w:r w:rsidR="00EF51E8" w:rsidRPr="001352EF">
        <w:rPr>
          <w:rFonts w:ascii="Garamond" w:hAnsi="Garamond"/>
          <w:b/>
        </w:rPr>
        <w:t xml:space="preserve">ld </w:t>
      </w:r>
      <w:r w:rsidR="00FD135F">
        <w:rPr>
          <w:rFonts w:ascii="Garamond" w:hAnsi="Garamond"/>
          <w:b/>
        </w:rPr>
        <w:t>A</w:t>
      </w:r>
      <w:r w:rsidR="00EF51E8" w:rsidRPr="001352EF">
        <w:rPr>
          <w:rFonts w:ascii="Garamond" w:hAnsi="Garamond"/>
          <w:b/>
        </w:rPr>
        <w:t>ge</w:t>
      </w:r>
    </w:p>
    <w:p w14:paraId="3C5197DD" w14:textId="213BD9A5" w:rsidR="000C6F68" w:rsidRPr="001352EF" w:rsidRDefault="000C6F68" w:rsidP="008554CD">
      <w:pPr>
        <w:rPr>
          <w:rFonts w:ascii="Garamond" w:hAnsi="Garamond"/>
          <w:b/>
        </w:rPr>
      </w:pPr>
    </w:p>
    <w:p w14:paraId="3779ED7D" w14:textId="77777777" w:rsidR="000C6F68" w:rsidRPr="001352EF" w:rsidRDefault="000C6F68" w:rsidP="000C6F68">
      <w:pPr>
        <w:rPr>
          <w:rFonts w:ascii="Garamond" w:hAnsi="Garamond"/>
        </w:rPr>
      </w:pPr>
    </w:p>
    <w:p w14:paraId="5B989CDD" w14:textId="2BF4CFE9" w:rsidR="000C6F68" w:rsidRPr="001352EF" w:rsidRDefault="000C6F68" w:rsidP="000C6F68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Broader context: </w:t>
      </w:r>
      <w:hyperlink r:id="rId18" w:history="1">
        <w:r w:rsidRPr="001352EF">
          <w:rPr>
            <w:rStyle w:val="Hyperlink"/>
            <w:rFonts w:ascii="Garamond" w:hAnsi="Garamond"/>
          </w:rPr>
          <w:t>Letter 76</w:t>
        </w:r>
      </w:hyperlink>
    </w:p>
    <w:p w14:paraId="08C6BCEE" w14:textId="77777777" w:rsidR="000C6F68" w:rsidRPr="001352EF" w:rsidRDefault="000C6F68" w:rsidP="000C6F68">
      <w:pPr>
        <w:rPr>
          <w:rFonts w:ascii="Garamond" w:hAnsi="Garamond"/>
        </w:rPr>
      </w:pPr>
    </w:p>
    <w:p w14:paraId="4B4AA67D" w14:textId="237A9457" w:rsidR="000C6F68" w:rsidRPr="001352EF" w:rsidRDefault="000C6F68" w:rsidP="000C6F68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Latin reading: </w:t>
      </w:r>
      <w:r w:rsidR="00A006F8" w:rsidRPr="001352EF">
        <w:rPr>
          <w:rFonts w:ascii="Garamond" w:hAnsi="Garamond"/>
        </w:rPr>
        <w:t xml:space="preserve">Paragraphs </w:t>
      </w:r>
      <w:r w:rsidRPr="001352EF">
        <w:rPr>
          <w:rFonts w:ascii="Garamond" w:hAnsi="Garamond"/>
        </w:rPr>
        <w:t>7-1</w:t>
      </w:r>
      <w:r w:rsidR="001821D8">
        <w:rPr>
          <w:rFonts w:ascii="Garamond" w:hAnsi="Garamond"/>
        </w:rPr>
        <w:t>7</w:t>
      </w:r>
      <w:r w:rsidRPr="001352EF">
        <w:rPr>
          <w:rFonts w:ascii="Garamond" w:hAnsi="Garamond"/>
        </w:rPr>
        <w:t>, 2</w:t>
      </w:r>
      <w:r w:rsidR="00360B0E">
        <w:rPr>
          <w:rFonts w:ascii="Garamond" w:hAnsi="Garamond"/>
        </w:rPr>
        <w:t>5</w:t>
      </w:r>
      <w:r w:rsidRPr="001352EF">
        <w:rPr>
          <w:rFonts w:ascii="Garamond" w:hAnsi="Garamond"/>
        </w:rPr>
        <w:t>-26</w:t>
      </w:r>
    </w:p>
    <w:p w14:paraId="09E1F3D0" w14:textId="77777777" w:rsidR="000C6F68" w:rsidRPr="001352EF" w:rsidRDefault="000C6F68" w:rsidP="000C6F68">
      <w:pPr>
        <w:rPr>
          <w:rFonts w:ascii="Garamond" w:hAnsi="Garamond"/>
        </w:rPr>
      </w:pPr>
    </w:p>
    <w:p w14:paraId="3C532357" w14:textId="3E4D399E" w:rsidR="000C6F68" w:rsidRPr="001352EF" w:rsidRDefault="000C6F68" w:rsidP="000C6F68">
      <w:pPr>
        <w:rPr>
          <w:rFonts w:ascii="Garamond" w:hAnsi="Garamond"/>
        </w:rPr>
      </w:pPr>
      <w:r w:rsidRPr="001352EF">
        <w:rPr>
          <w:rFonts w:ascii="Garamond" w:hAnsi="Garamond"/>
        </w:rPr>
        <w:t>Commentary: Inwood, pp. 200-21</w:t>
      </w:r>
      <w:r w:rsidR="00C26AA0" w:rsidRPr="001352EF">
        <w:rPr>
          <w:rFonts w:ascii="Garamond" w:hAnsi="Garamond"/>
        </w:rPr>
        <w:t>9</w:t>
      </w:r>
    </w:p>
    <w:p w14:paraId="5C7FA3F5" w14:textId="77777777" w:rsidR="000C6F68" w:rsidRPr="001352EF" w:rsidRDefault="000C6F68" w:rsidP="000C6F68">
      <w:pPr>
        <w:rPr>
          <w:rFonts w:ascii="Garamond" w:hAnsi="Garamond"/>
          <w:b/>
        </w:rPr>
      </w:pPr>
    </w:p>
    <w:p w14:paraId="64F678F3" w14:textId="77777777" w:rsidR="001352EF" w:rsidRDefault="001352EF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52407575" w14:textId="1F98E1C9" w:rsidR="0025037D" w:rsidRPr="001352EF" w:rsidRDefault="0025037D" w:rsidP="00DC18F8">
      <w:pPr>
        <w:rPr>
          <w:rFonts w:ascii="Garamond" w:hAnsi="Garamond"/>
          <w:b/>
        </w:rPr>
      </w:pPr>
      <w:r w:rsidRPr="00C24FE1">
        <w:rPr>
          <w:rFonts w:ascii="Garamond" w:hAnsi="Garamond"/>
          <w:b/>
        </w:rPr>
        <w:lastRenderedPageBreak/>
        <w:t xml:space="preserve">Reading </w:t>
      </w:r>
      <w:r w:rsidR="0083531C" w:rsidRPr="00C24FE1">
        <w:rPr>
          <w:rFonts w:ascii="Garamond" w:hAnsi="Garamond"/>
          <w:b/>
        </w:rPr>
        <w:t>#6</w:t>
      </w:r>
      <w:r w:rsidRPr="00C24FE1">
        <w:rPr>
          <w:rFonts w:ascii="Garamond" w:hAnsi="Garamond"/>
          <w:b/>
        </w:rPr>
        <w:t xml:space="preserve">: </w:t>
      </w:r>
      <w:r w:rsidR="00EF51E8" w:rsidRPr="00C24FE1">
        <w:rPr>
          <w:rFonts w:ascii="Garamond" w:hAnsi="Garamond"/>
          <w:b/>
        </w:rPr>
        <w:t xml:space="preserve">L 85 – On </w:t>
      </w:r>
      <w:r w:rsidR="00FD135F">
        <w:rPr>
          <w:rFonts w:ascii="Garamond" w:hAnsi="Garamond"/>
          <w:b/>
        </w:rPr>
        <w:t>S</w:t>
      </w:r>
      <w:r w:rsidR="00EF51E8" w:rsidRPr="00C24FE1">
        <w:rPr>
          <w:rFonts w:ascii="Garamond" w:hAnsi="Garamond"/>
          <w:b/>
        </w:rPr>
        <w:t xml:space="preserve">ome </w:t>
      </w:r>
      <w:r w:rsidR="00FD135F">
        <w:rPr>
          <w:rFonts w:ascii="Garamond" w:hAnsi="Garamond"/>
          <w:b/>
        </w:rPr>
        <w:t>V</w:t>
      </w:r>
      <w:r w:rsidR="00EF51E8" w:rsidRPr="00C24FE1">
        <w:rPr>
          <w:rFonts w:ascii="Garamond" w:hAnsi="Garamond"/>
          <w:b/>
        </w:rPr>
        <w:t xml:space="preserve">ain </w:t>
      </w:r>
      <w:r w:rsidR="00FD135F">
        <w:rPr>
          <w:rFonts w:ascii="Garamond" w:hAnsi="Garamond"/>
          <w:b/>
        </w:rPr>
        <w:t>S</w:t>
      </w:r>
      <w:r w:rsidR="00EF51E8" w:rsidRPr="00C24FE1">
        <w:rPr>
          <w:rFonts w:ascii="Garamond" w:hAnsi="Garamond"/>
          <w:b/>
        </w:rPr>
        <w:t>yllogisms</w:t>
      </w:r>
    </w:p>
    <w:p w14:paraId="6D0E5FC0" w14:textId="77777777" w:rsidR="0025037D" w:rsidRPr="001352EF" w:rsidRDefault="0025037D" w:rsidP="00DC18F8">
      <w:pPr>
        <w:rPr>
          <w:rFonts w:ascii="Garamond" w:hAnsi="Garamond"/>
          <w:b/>
        </w:rPr>
      </w:pPr>
    </w:p>
    <w:p w14:paraId="68EBFD2D" w14:textId="1A0CEBA2" w:rsidR="0025037D" w:rsidRPr="001352EF" w:rsidRDefault="0025037D" w:rsidP="0025037D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Broader context: </w:t>
      </w:r>
      <w:hyperlink r:id="rId19" w:history="1">
        <w:r w:rsidRPr="001352EF">
          <w:rPr>
            <w:rStyle w:val="Hyperlink"/>
            <w:rFonts w:ascii="Garamond" w:hAnsi="Garamond"/>
          </w:rPr>
          <w:t>Letter 85</w:t>
        </w:r>
      </w:hyperlink>
    </w:p>
    <w:p w14:paraId="405C9CD6" w14:textId="77777777" w:rsidR="0025037D" w:rsidRPr="001352EF" w:rsidRDefault="0025037D" w:rsidP="0025037D">
      <w:pPr>
        <w:rPr>
          <w:rFonts w:ascii="Garamond" w:hAnsi="Garamond"/>
        </w:rPr>
      </w:pPr>
    </w:p>
    <w:p w14:paraId="3BF99063" w14:textId="2CB51CC6" w:rsidR="0025037D" w:rsidRPr="001352EF" w:rsidRDefault="0025037D" w:rsidP="0025037D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Latin reading: Paragraphs </w:t>
      </w:r>
      <w:r w:rsidR="00833647">
        <w:rPr>
          <w:rFonts w:ascii="Garamond" w:hAnsi="Garamond"/>
        </w:rPr>
        <w:t>6</w:t>
      </w:r>
      <w:r w:rsidRPr="001352EF">
        <w:rPr>
          <w:rFonts w:ascii="Garamond" w:hAnsi="Garamond"/>
        </w:rPr>
        <w:t>-13, 39</w:t>
      </w:r>
      <w:r w:rsidR="00833647">
        <w:rPr>
          <w:rFonts w:ascii="Garamond" w:hAnsi="Garamond"/>
        </w:rPr>
        <w:t xml:space="preserve"> (start a few lines up, at “</w:t>
      </w:r>
      <w:proofErr w:type="spellStart"/>
      <w:r w:rsidR="00833647">
        <w:rPr>
          <w:rFonts w:ascii="Garamond" w:hAnsi="Garamond"/>
        </w:rPr>
        <w:t>Ita</w:t>
      </w:r>
      <w:proofErr w:type="spellEnd"/>
      <w:r w:rsidR="00833647">
        <w:rPr>
          <w:rFonts w:ascii="Garamond" w:hAnsi="Garamond"/>
        </w:rPr>
        <w:t xml:space="preserve"> </w:t>
      </w:r>
      <w:proofErr w:type="spellStart"/>
      <w:r w:rsidR="00833647">
        <w:rPr>
          <w:rFonts w:ascii="Garamond" w:hAnsi="Garamond"/>
        </w:rPr>
        <w:t>nulla</w:t>
      </w:r>
      <w:proofErr w:type="spellEnd"/>
      <w:r w:rsidR="00833647">
        <w:rPr>
          <w:rFonts w:ascii="Garamond" w:hAnsi="Garamond"/>
        </w:rPr>
        <w:t xml:space="preserve"> </w:t>
      </w:r>
      <w:proofErr w:type="spellStart"/>
      <w:r w:rsidR="00833647">
        <w:rPr>
          <w:rFonts w:ascii="Garamond" w:hAnsi="Garamond"/>
        </w:rPr>
        <w:t>fortuna</w:t>
      </w:r>
      <w:proofErr w:type="spellEnd"/>
      <w:r w:rsidR="00833647">
        <w:rPr>
          <w:rFonts w:ascii="Garamond" w:hAnsi="Garamond"/>
        </w:rPr>
        <w:t xml:space="preserve"> …”</w:t>
      </w:r>
      <w:r w:rsidR="00C24FE1">
        <w:rPr>
          <w:rFonts w:ascii="Garamond" w:hAnsi="Garamond"/>
        </w:rPr>
        <w:t>)</w:t>
      </w:r>
      <w:r w:rsidRPr="001352EF">
        <w:rPr>
          <w:rFonts w:ascii="Garamond" w:hAnsi="Garamond"/>
        </w:rPr>
        <w:t>-41</w:t>
      </w:r>
    </w:p>
    <w:p w14:paraId="70250D37" w14:textId="77777777" w:rsidR="0025037D" w:rsidRPr="001352EF" w:rsidRDefault="0025037D" w:rsidP="0025037D">
      <w:pPr>
        <w:rPr>
          <w:rFonts w:ascii="Garamond" w:hAnsi="Garamond"/>
        </w:rPr>
      </w:pPr>
    </w:p>
    <w:p w14:paraId="5878DC5B" w14:textId="63786FCB" w:rsidR="0025037D" w:rsidRPr="001352EF" w:rsidRDefault="0025037D" w:rsidP="0025037D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Commentary: Inwood, pp. </w:t>
      </w:r>
      <w:r w:rsidR="00C26AA0" w:rsidRPr="001352EF">
        <w:rPr>
          <w:rFonts w:ascii="Garamond" w:hAnsi="Garamond"/>
        </w:rPr>
        <w:t>220-238</w:t>
      </w:r>
    </w:p>
    <w:p w14:paraId="496F3151" w14:textId="77777777" w:rsidR="0025037D" w:rsidRPr="001352EF" w:rsidRDefault="0025037D" w:rsidP="00DC18F8">
      <w:pPr>
        <w:rPr>
          <w:rFonts w:ascii="Garamond" w:hAnsi="Garamond"/>
          <w:b/>
        </w:rPr>
      </w:pPr>
    </w:p>
    <w:p w14:paraId="08C7997B" w14:textId="77777777" w:rsidR="001B2FAA" w:rsidRPr="001352EF" w:rsidRDefault="001B2FAA" w:rsidP="00A91660">
      <w:pPr>
        <w:ind w:firstLine="720"/>
        <w:rPr>
          <w:rFonts w:ascii="Garamond" w:hAnsi="Garamond"/>
        </w:rPr>
      </w:pPr>
    </w:p>
    <w:p w14:paraId="52347B03" w14:textId="27F14273" w:rsidR="00C73F11" w:rsidRPr="001352EF" w:rsidRDefault="00C73F11" w:rsidP="009278EE">
      <w:pPr>
        <w:rPr>
          <w:rFonts w:ascii="Garamond" w:hAnsi="Garamond"/>
          <w:b/>
        </w:rPr>
      </w:pPr>
      <w:r w:rsidRPr="00582356">
        <w:rPr>
          <w:rFonts w:ascii="Garamond" w:hAnsi="Garamond"/>
          <w:b/>
        </w:rPr>
        <w:t xml:space="preserve">Reading #7: L 87 - Some </w:t>
      </w:r>
      <w:r w:rsidR="00FD135F">
        <w:rPr>
          <w:rFonts w:ascii="Garamond" w:hAnsi="Garamond"/>
          <w:b/>
        </w:rPr>
        <w:t>A</w:t>
      </w:r>
      <w:r w:rsidRPr="00582356">
        <w:rPr>
          <w:rFonts w:ascii="Garamond" w:hAnsi="Garamond"/>
          <w:b/>
        </w:rPr>
        <w:t xml:space="preserve">rguments in </w:t>
      </w:r>
      <w:r w:rsidR="00FD135F">
        <w:rPr>
          <w:rFonts w:ascii="Garamond" w:hAnsi="Garamond"/>
          <w:b/>
        </w:rPr>
        <w:t>F</w:t>
      </w:r>
      <w:r w:rsidRPr="00582356">
        <w:rPr>
          <w:rFonts w:ascii="Garamond" w:hAnsi="Garamond"/>
          <w:b/>
        </w:rPr>
        <w:t xml:space="preserve">avor of the </w:t>
      </w:r>
      <w:r w:rsidR="00FD135F">
        <w:rPr>
          <w:rFonts w:ascii="Garamond" w:hAnsi="Garamond"/>
          <w:b/>
        </w:rPr>
        <w:t>S</w:t>
      </w:r>
      <w:r w:rsidRPr="00582356">
        <w:rPr>
          <w:rFonts w:ascii="Garamond" w:hAnsi="Garamond"/>
          <w:b/>
        </w:rPr>
        <w:t xml:space="preserve">imple </w:t>
      </w:r>
      <w:r w:rsidR="00FD135F">
        <w:rPr>
          <w:rFonts w:ascii="Garamond" w:hAnsi="Garamond"/>
          <w:b/>
        </w:rPr>
        <w:t>L</w:t>
      </w:r>
      <w:r w:rsidRPr="00582356">
        <w:rPr>
          <w:rFonts w:ascii="Garamond" w:hAnsi="Garamond"/>
          <w:b/>
        </w:rPr>
        <w:t>ife</w:t>
      </w:r>
    </w:p>
    <w:p w14:paraId="7A8F65C1" w14:textId="77777777" w:rsidR="00C73F11" w:rsidRPr="001352EF" w:rsidRDefault="00C73F11" w:rsidP="009278EE">
      <w:pPr>
        <w:rPr>
          <w:rFonts w:ascii="Garamond" w:hAnsi="Garamond"/>
          <w:b/>
        </w:rPr>
      </w:pPr>
    </w:p>
    <w:p w14:paraId="3D1C82EF" w14:textId="7B9BD388" w:rsidR="00C73F11" w:rsidRPr="001352EF" w:rsidRDefault="00C73F11" w:rsidP="00C73F11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Broader context: </w:t>
      </w:r>
      <w:hyperlink r:id="rId20" w:history="1">
        <w:r w:rsidRPr="001352EF">
          <w:rPr>
            <w:rStyle w:val="Hyperlink"/>
            <w:rFonts w:ascii="Garamond" w:hAnsi="Garamond"/>
          </w:rPr>
          <w:t>Letter 87</w:t>
        </w:r>
      </w:hyperlink>
    </w:p>
    <w:p w14:paraId="09D7EFFB" w14:textId="77777777" w:rsidR="00C73F11" w:rsidRPr="001352EF" w:rsidRDefault="00C73F11" w:rsidP="00C73F11">
      <w:pPr>
        <w:rPr>
          <w:rFonts w:ascii="Garamond" w:hAnsi="Garamond"/>
        </w:rPr>
      </w:pPr>
    </w:p>
    <w:p w14:paraId="3C1E2BE7" w14:textId="3F5141C1" w:rsidR="00C73F11" w:rsidRPr="001352EF" w:rsidRDefault="00C73F11" w:rsidP="00C73F11">
      <w:pPr>
        <w:rPr>
          <w:rFonts w:ascii="Garamond" w:hAnsi="Garamond"/>
        </w:rPr>
      </w:pPr>
      <w:r w:rsidRPr="001352EF">
        <w:rPr>
          <w:rFonts w:ascii="Garamond" w:hAnsi="Garamond"/>
        </w:rPr>
        <w:t>Latin reading: Paragraphs 31-41</w:t>
      </w:r>
    </w:p>
    <w:p w14:paraId="6C870DD7" w14:textId="77777777" w:rsidR="00C73F11" w:rsidRPr="001352EF" w:rsidRDefault="00C73F11" w:rsidP="00C73F11">
      <w:pPr>
        <w:rPr>
          <w:rFonts w:ascii="Garamond" w:hAnsi="Garamond"/>
        </w:rPr>
      </w:pPr>
    </w:p>
    <w:p w14:paraId="142AD18B" w14:textId="4A3D5DFD" w:rsidR="00C73F11" w:rsidRPr="001352EF" w:rsidRDefault="00C73F11" w:rsidP="00C73F11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Commentary: Inwood, pp. </w:t>
      </w:r>
      <w:r w:rsidR="00C26AA0" w:rsidRPr="001352EF">
        <w:rPr>
          <w:rFonts w:ascii="Garamond" w:hAnsi="Garamond"/>
        </w:rPr>
        <w:t>239-260</w:t>
      </w:r>
    </w:p>
    <w:p w14:paraId="3B516053" w14:textId="77777777" w:rsidR="00C26AA0" w:rsidRPr="001352EF" w:rsidRDefault="00C26AA0" w:rsidP="00C73F11">
      <w:pPr>
        <w:rPr>
          <w:rFonts w:ascii="Garamond" w:hAnsi="Garamond"/>
        </w:rPr>
      </w:pPr>
    </w:p>
    <w:p w14:paraId="252FA200" w14:textId="77777777" w:rsidR="00C73F11" w:rsidRPr="001352EF" w:rsidRDefault="00C73F11" w:rsidP="009278EE">
      <w:pPr>
        <w:rPr>
          <w:rFonts w:ascii="Garamond" w:hAnsi="Garamond"/>
          <w:b/>
        </w:rPr>
      </w:pPr>
    </w:p>
    <w:p w14:paraId="5752C8CC" w14:textId="47877668" w:rsidR="00DC18F8" w:rsidRPr="001352EF" w:rsidRDefault="00C73F11" w:rsidP="008554CD">
      <w:pPr>
        <w:rPr>
          <w:rFonts w:ascii="Garamond" w:hAnsi="Garamond"/>
          <w:b/>
        </w:rPr>
      </w:pPr>
      <w:r w:rsidRPr="000F44AE">
        <w:rPr>
          <w:rFonts w:ascii="Garamond" w:hAnsi="Garamond"/>
          <w:b/>
        </w:rPr>
        <w:t xml:space="preserve">Reading #8: The </w:t>
      </w:r>
      <w:r w:rsidR="00FD135F">
        <w:rPr>
          <w:rFonts w:ascii="Garamond" w:hAnsi="Garamond"/>
          <w:b/>
        </w:rPr>
        <w:t>C</w:t>
      </w:r>
      <w:r w:rsidRPr="000F44AE">
        <w:rPr>
          <w:rFonts w:ascii="Garamond" w:hAnsi="Garamond"/>
          <w:b/>
        </w:rPr>
        <w:t xml:space="preserve">orporeality of </w:t>
      </w:r>
      <w:r w:rsidR="00FD135F">
        <w:rPr>
          <w:rFonts w:ascii="Garamond" w:hAnsi="Garamond"/>
          <w:b/>
        </w:rPr>
        <w:t>V</w:t>
      </w:r>
      <w:r w:rsidRPr="000F44AE">
        <w:rPr>
          <w:rFonts w:ascii="Garamond" w:hAnsi="Garamond"/>
          <w:b/>
        </w:rPr>
        <w:t>irtue</w:t>
      </w:r>
    </w:p>
    <w:p w14:paraId="39DB8FFC" w14:textId="372F7F9A" w:rsidR="00C73F11" w:rsidRPr="001352EF" w:rsidRDefault="00C73F11" w:rsidP="008554CD">
      <w:pPr>
        <w:rPr>
          <w:rFonts w:ascii="Garamond" w:hAnsi="Garamond"/>
          <w:b/>
        </w:rPr>
      </w:pPr>
    </w:p>
    <w:p w14:paraId="6D2E43C0" w14:textId="13AA68CB" w:rsidR="00C73F11" w:rsidRPr="001352EF" w:rsidRDefault="00C73F11" w:rsidP="00C73F11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Broader context: </w:t>
      </w:r>
      <w:hyperlink r:id="rId21" w:history="1">
        <w:r w:rsidRPr="001352EF">
          <w:rPr>
            <w:rStyle w:val="Hyperlink"/>
            <w:rFonts w:ascii="Garamond" w:hAnsi="Garamond"/>
          </w:rPr>
          <w:t xml:space="preserve">Letter </w:t>
        </w:r>
        <w:r w:rsidR="00C26AA0" w:rsidRPr="001352EF">
          <w:rPr>
            <w:rStyle w:val="Hyperlink"/>
            <w:rFonts w:ascii="Garamond" w:hAnsi="Garamond"/>
          </w:rPr>
          <w:t>106</w:t>
        </w:r>
      </w:hyperlink>
    </w:p>
    <w:p w14:paraId="22EA07F9" w14:textId="77777777" w:rsidR="00C73F11" w:rsidRPr="001352EF" w:rsidRDefault="00C73F11" w:rsidP="00C73F11">
      <w:pPr>
        <w:rPr>
          <w:rFonts w:ascii="Garamond" w:hAnsi="Garamond"/>
        </w:rPr>
      </w:pPr>
    </w:p>
    <w:p w14:paraId="0740B29A" w14:textId="2DFD2F7C" w:rsidR="00C73F11" w:rsidRPr="001352EF" w:rsidRDefault="00C73F11" w:rsidP="00C73F11">
      <w:pPr>
        <w:rPr>
          <w:rFonts w:ascii="Garamond" w:hAnsi="Garamond"/>
        </w:rPr>
      </w:pPr>
      <w:r w:rsidRPr="001352EF">
        <w:rPr>
          <w:rFonts w:ascii="Garamond" w:hAnsi="Garamond"/>
        </w:rPr>
        <w:t>Latin reading: Paragraphs 1-12</w:t>
      </w:r>
    </w:p>
    <w:p w14:paraId="58107AF0" w14:textId="77777777" w:rsidR="00C73F11" w:rsidRPr="001352EF" w:rsidRDefault="00C73F11" w:rsidP="00C73F11">
      <w:pPr>
        <w:rPr>
          <w:rFonts w:ascii="Garamond" w:hAnsi="Garamond"/>
        </w:rPr>
      </w:pPr>
    </w:p>
    <w:p w14:paraId="0B491D7C" w14:textId="004301A7" w:rsidR="00C73F11" w:rsidRPr="001352EF" w:rsidRDefault="00C73F11" w:rsidP="00C73F11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Commentary: Inwood, pp. </w:t>
      </w:r>
      <w:r w:rsidR="00C26AA0" w:rsidRPr="001352EF">
        <w:rPr>
          <w:rFonts w:ascii="Garamond" w:hAnsi="Garamond"/>
        </w:rPr>
        <w:t>261-271</w:t>
      </w:r>
    </w:p>
    <w:p w14:paraId="343F149B" w14:textId="77777777" w:rsidR="00C73F11" w:rsidRPr="001352EF" w:rsidRDefault="00C73F11" w:rsidP="008554CD">
      <w:pPr>
        <w:rPr>
          <w:rFonts w:ascii="Garamond" w:hAnsi="Garamond"/>
          <w:b/>
        </w:rPr>
      </w:pPr>
    </w:p>
    <w:p w14:paraId="584B1A00" w14:textId="77777777" w:rsidR="006E56E9" w:rsidRPr="001352EF" w:rsidRDefault="006E56E9" w:rsidP="00C73F11">
      <w:pPr>
        <w:rPr>
          <w:rFonts w:ascii="Garamond" w:hAnsi="Garamond"/>
          <w:b/>
        </w:rPr>
      </w:pPr>
    </w:p>
    <w:p w14:paraId="20B8019A" w14:textId="4F2989D8" w:rsidR="00C73F11" w:rsidRPr="001352EF" w:rsidRDefault="00C73F11" w:rsidP="008554CD">
      <w:pPr>
        <w:rPr>
          <w:rFonts w:ascii="Garamond" w:hAnsi="Garamond"/>
          <w:b/>
        </w:rPr>
      </w:pPr>
      <w:r w:rsidRPr="00784A97">
        <w:rPr>
          <w:rFonts w:ascii="Garamond" w:hAnsi="Garamond"/>
          <w:b/>
        </w:rPr>
        <w:t xml:space="preserve">Reading </w:t>
      </w:r>
      <w:r w:rsidR="000A51AA" w:rsidRPr="00784A97">
        <w:rPr>
          <w:rFonts w:ascii="Garamond" w:hAnsi="Garamond"/>
          <w:b/>
        </w:rPr>
        <w:t>#9</w:t>
      </w:r>
      <w:r w:rsidRPr="00784A97">
        <w:rPr>
          <w:rFonts w:ascii="Garamond" w:hAnsi="Garamond"/>
          <w:b/>
        </w:rPr>
        <w:t xml:space="preserve">: The </w:t>
      </w:r>
      <w:r w:rsidR="00FD135F">
        <w:rPr>
          <w:rFonts w:ascii="Garamond" w:hAnsi="Garamond"/>
          <w:b/>
        </w:rPr>
        <w:t>V</w:t>
      </w:r>
      <w:r w:rsidRPr="00784A97">
        <w:rPr>
          <w:rFonts w:ascii="Garamond" w:hAnsi="Garamond"/>
          <w:b/>
        </w:rPr>
        <w:t xml:space="preserve">anity of </w:t>
      </w:r>
      <w:r w:rsidR="00FD135F">
        <w:rPr>
          <w:rFonts w:ascii="Garamond" w:hAnsi="Garamond"/>
          <w:b/>
        </w:rPr>
        <w:t>P</w:t>
      </w:r>
      <w:r w:rsidRPr="00784A97">
        <w:rPr>
          <w:rFonts w:ascii="Garamond" w:hAnsi="Garamond"/>
          <w:b/>
        </w:rPr>
        <w:t xml:space="preserve">lace </w:t>
      </w:r>
      <w:r w:rsidR="00FD135F">
        <w:rPr>
          <w:rFonts w:ascii="Garamond" w:hAnsi="Garamond"/>
          <w:b/>
        </w:rPr>
        <w:t>S</w:t>
      </w:r>
      <w:r w:rsidRPr="00784A97">
        <w:rPr>
          <w:rFonts w:ascii="Garamond" w:hAnsi="Garamond"/>
          <w:b/>
        </w:rPr>
        <w:t>eeking</w:t>
      </w:r>
      <w:r w:rsidRPr="001352EF">
        <w:rPr>
          <w:rFonts w:ascii="Garamond" w:hAnsi="Garamond"/>
          <w:b/>
        </w:rPr>
        <w:t xml:space="preserve"> </w:t>
      </w:r>
    </w:p>
    <w:p w14:paraId="13C15C86" w14:textId="77777777" w:rsidR="00C73F11" w:rsidRPr="001352EF" w:rsidRDefault="00C73F11" w:rsidP="008554CD">
      <w:pPr>
        <w:rPr>
          <w:rFonts w:ascii="Garamond" w:hAnsi="Garamond"/>
          <w:b/>
        </w:rPr>
      </w:pPr>
    </w:p>
    <w:p w14:paraId="1A667CB1" w14:textId="65722273" w:rsidR="00C73F11" w:rsidRPr="001352EF" w:rsidRDefault="00C73F11" w:rsidP="00C73F11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Broader context: </w:t>
      </w:r>
      <w:hyperlink r:id="rId22" w:history="1">
        <w:r w:rsidRPr="001352EF">
          <w:rPr>
            <w:rStyle w:val="Hyperlink"/>
            <w:rFonts w:ascii="Garamond" w:hAnsi="Garamond"/>
          </w:rPr>
          <w:t>Letter 118</w:t>
        </w:r>
      </w:hyperlink>
    </w:p>
    <w:p w14:paraId="68CA55CF" w14:textId="77777777" w:rsidR="00C73F11" w:rsidRPr="001352EF" w:rsidRDefault="00C73F11" w:rsidP="00C73F11">
      <w:pPr>
        <w:rPr>
          <w:rFonts w:ascii="Garamond" w:hAnsi="Garamond"/>
        </w:rPr>
      </w:pPr>
    </w:p>
    <w:p w14:paraId="354AD94A" w14:textId="22852E3B" w:rsidR="00C73F11" w:rsidRPr="001352EF" w:rsidRDefault="00C73F11" w:rsidP="00C73F11">
      <w:pPr>
        <w:rPr>
          <w:rFonts w:ascii="Garamond" w:hAnsi="Garamond"/>
        </w:rPr>
      </w:pPr>
      <w:r w:rsidRPr="001352EF">
        <w:rPr>
          <w:rFonts w:ascii="Garamond" w:hAnsi="Garamond"/>
        </w:rPr>
        <w:t>Latin reading: Paragraphs 8-17</w:t>
      </w:r>
    </w:p>
    <w:p w14:paraId="137EC5BA" w14:textId="77777777" w:rsidR="00C73F11" w:rsidRPr="001352EF" w:rsidRDefault="00C73F11" w:rsidP="00C73F11">
      <w:pPr>
        <w:rPr>
          <w:rFonts w:ascii="Garamond" w:hAnsi="Garamond"/>
        </w:rPr>
      </w:pPr>
    </w:p>
    <w:p w14:paraId="01741BE2" w14:textId="4815323C" w:rsidR="00C73F11" w:rsidRPr="001352EF" w:rsidRDefault="00C73F11" w:rsidP="00C73F11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Commentary: Inwood, pp. </w:t>
      </w:r>
      <w:r w:rsidR="00C26AA0" w:rsidRPr="001352EF">
        <w:rPr>
          <w:rFonts w:ascii="Garamond" w:hAnsi="Garamond"/>
        </w:rPr>
        <w:t>306-314</w:t>
      </w:r>
    </w:p>
    <w:p w14:paraId="3C48EA1E" w14:textId="77777777" w:rsidR="00C73F11" w:rsidRPr="001352EF" w:rsidRDefault="00C73F11" w:rsidP="008554CD">
      <w:pPr>
        <w:rPr>
          <w:rFonts w:ascii="Garamond" w:hAnsi="Garamond"/>
          <w:b/>
        </w:rPr>
      </w:pPr>
    </w:p>
    <w:p w14:paraId="7F141FF4" w14:textId="77777777" w:rsidR="009278EE" w:rsidRPr="001352EF" w:rsidRDefault="009278EE" w:rsidP="008554CD">
      <w:pPr>
        <w:rPr>
          <w:rFonts w:ascii="Garamond" w:hAnsi="Garamond"/>
          <w:b/>
        </w:rPr>
      </w:pPr>
    </w:p>
    <w:p w14:paraId="03BF8461" w14:textId="3A32CA63" w:rsidR="00C73F11" w:rsidRPr="001352EF" w:rsidRDefault="00C73F11" w:rsidP="008554CD">
      <w:pPr>
        <w:rPr>
          <w:rFonts w:ascii="Garamond" w:hAnsi="Garamond"/>
          <w:b/>
        </w:rPr>
      </w:pPr>
      <w:r w:rsidRPr="00784A97">
        <w:rPr>
          <w:rFonts w:ascii="Garamond" w:hAnsi="Garamond"/>
          <w:b/>
        </w:rPr>
        <w:t xml:space="preserve">Reading </w:t>
      </w:r>
      <w:r w:rsidR="009278EE" w:rsidRPr="00784A97">
        <w:rPr>
          <w:rFonts w:ascii="Garamond" w:hAnsi="Garamond"/>
          <w:b/>
        </w:rPr>
        <w:t>#10</w:t>
      </w:r>
      <w:r w:rsidRPr="00784A97">
        <w:rPr>
          <w:rFonts w:ascii="Garamond" w:hAnsi="Garamond"/>
          <w:b/>
        </w:rPr>
        <w:t xml:space="preserve">: More about </w:t>
      </w:r>
      <w:r w:rsidR="00FD135F">
        <w:rPr>
          <w:rFonts w:ascii="Garamond" w:hAnsi="Garamond"/>
          <w:b/>
        </w:rPr>
        <w:t>V</w:t>
      </w:r>
      <w:r w:rsidRPr="00784A97">
        <w:rPr>
          <w:rFonts w:ascii="Garamond" w:hAnsi="Garamond"/>
          <w:b/>
        </w:rPr>
        <w:t>irtue</w:t>
      </w:r>
      <w:r w:rsidRPr="001352EF">
        <w:rPr>
          <w:rFonts w:ascii="Garamond" w:hAnsi="Garamond"/>
          <w:b/>
        </w:rPr>
        <w:t xml:space="preserve"> </w:t>
      </w:r>
    </w:p>
    <w:p w14:paraId="5054B353" w14:textId="77777777" w:rsidR="00C73F11" w:rsidRPr="001352EF" w:rsidRDefault="00C73F11" w:rsidP="008554CD">
      <w:pPr>
        <w:rPr>
          <w:rFonts w:ascii="Garamond" w:hAnsi="Garamond"/>
          <w:b/>
        </w:rPr>
      </w:pPr>
    </w:p>
    <w:p w14:paraId="45BE75AF" w14:textId="0018909B" w:rsidR="00C73F11" w:rsidRPr="001352EF" w:rsidRDefault="00C73F11" w:rsidP="00C73F11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Broader context: </w:t>
      </w:r>
      <w:hyperlink r:id="rId23" w:history="1">
        <w:r w:rsidRPr="001352EF">
          <w:rPr>
            <w:rStyle w:val="Hyperlink"/>
            <w:rFonts w:ascii="Garamond" w:hAnsi="Garamond"/>
          </w:rPr>
          <w:t>Letter 120</w:t>
        </w:r>
      </w:hyperlink>
    </w:p>
    <w:p w14:paraId="36B59131" w14:textId="77777777" w:rsidR="00C73F11" w:rsidRPr="001352EF" w:rsidRDefault="00C73F11" w:rsidP="00C73F11">
      <w:pPr>
        <w:rPr>
          <w:rFonts w:ascii="Garamond" w:hAnsi="Garamond"/>
        </w:rPr>
      </w:pPr>
    </w:p>
    <w:p w14:paraId="6E8FDDBD" w14:textId="70D06BF3" w:rsidR="00C73F11" w:rsidRPr="001352EF" w:rsidRDefault="00C73F11" w:rsidP="00C73F11">
      <w:pPr>
        <w:rPr>
          <w:rFonts w:ascii="Garamond" w:hAnsi="Garamond"/>
        </w:rPr>
      </w:pPr>
      <w:r w:rsidRPr="001352EF">
        <w:rPr>
          <w:rFonts w:ascii="Garamond" w:hAnsi="Garamond"/>
        </w:rPr>
        <w:t>Latin reading: Paragraphs 1-</w:t>
      </w:r>
      <w:r w:rsidR="00784A97">
        <w:rPr>
          <w:rFonts w:ascii="Garamond" w:hAnsi="Garamond"/>
        </w:rPr>
        <w:t>5</w:t>
      </w:r>
      <w:r w:rsidRPr="001352EF">
        <w:rPr>
          <w:rFonts w:ascii="Garamond" w:hAnsi="Garamond"/>
        </w:rPr>
        <w:t>, 10-1</w:t>
      </w:r>
      <w:r w:rsidR="00784A97">
        <w:rPr>
          <w:rFonts w:ascii="Garamond" w:hAnsi="Garamond"/>
        </w:rPr>
        <w:t>4</w:t>
      </w:r>
    </w:p>
    <w:p w14:paraId="203A8CCE" w14:textId="77777777" w:rsidR="00C73F11" w:rsidRPr="001352EF" w:rsidRDefault="00C73F11" w:rsidP="00C73F11">
      <w:pPr>
        <w:rPr>
          <w:rFonts w:ascii="Garamond" w:hAnsi="Garamond"/>
        </w:rPr>
      </w:pPr>
    </w:p>
    <w:p w14:paraId="0138791B" w14:textId="2DB8121E" w:rsidR="00C73F11" w:rsidRPr="001352EF" w:rsidRDefault="00C73F11" w:rsidP="00C73F11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Commentary: Inwood, pp. </w:t>
      </w:r>
      <w:r w:rsidR="00C26AA0" w:rsidRPr="001352EF">
        <w:rPr>
          <w:rFonts w:ascii="Garamond" w:hAnsi="Garamond"/>
        </w:rPr>
        <w:t>322-331</w:t>
      </w:r>
    </w:p>
    <w:p w14:paraId="5D839F10" w14:textId="77777777" w:rsidR="00C73F11" w:rsidRPr="001352EF" w:rsidRDefault="00C73F11" w:rsidP="008554CD">
      <w:pPr>
        <w:rPr>
          <w:rFonts w:ascii="Garamond" w:hAnsi="Garamond"/>
          <w:b/>
        </w:rPr>
      </w:pPr>
    </w:p>
    <w:p w14:paraId="6E84FE2A" w14:textId="77777777" w:rsidR="00C73F11" w:rsidRPr="001352EF" w:rsidRDefault="00C73F11" w:rsidP="008554CD">
      <w:pPr>
        <w:rPr>
          <w:rFonts w:ascii="Garamond" w:hAnsi="Garamond"/>
          <w:b/>
        </w:rPr>
      </w:pPr>
    </w:p>
    <w:p w14:paraId="1092B7EB" w14:textId="77777777" w:rsidR="001352EF" w:rsidRDefault="001352EF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27FA764E" w14:textId="10D239A1" w:rsidR="00A91660" w:rsidRPr="001352EF" w:rsidRDefault="00C73F11" w:rsidP="00C73F11">
      <w:pPr>
        <w:rPr>
          <w:rFonts w:ascii="Garamond" w:hAnsi="Garamond"/>
          <w:b/>
        </w:rPr>
      </w:pPr>
      <w:r w:rsidRPr="00FD135F">
        <w:rPr>
          <w:rFonts w:ascii="Garamond" w:hAnsi="Garamond"/>
          <w:b/>
        </w:rPr>
        <w:lastRenderedPageBreak/>
        <w:t xml:space="preserve">Reading #11: The </w:t>
      </w:r>
      <w:r w:rsidR="00FD135F">
        <w:rPr>
          <w:rFonts w:ascii="Garamond" w:hAnsi="Garamond"/>
          <w:b/>
        </w:rPr>
        <w:t>C</w:t>
      </w:r>
      <w:r w:rsidRPr="00FD135F">
        <w:rPr>
          <w:rFonts w:ascii="Garamond" w:hAnsi="Garamond"/>
          <w:b/>
        </w:rPr>
        <w:t xml:space="preserve">onflict between </w:t>
      </w:r>
      <w:r w:rsidR="00FD135F">
        <w:rPr>
          <w:rFonts w:ascii="Garamond" w:hAnsi="Garamond"/>
          <w:b/>
        </w:rPr>
        <w:t>P</w:t>
      </w:r>
      <w:r w:rsidRPr="00FD135F">
        <w:rPr>
          <w:rFonts w:ascii="Garamond" w:hAnsi="Garamond"/>
          <w:b/>
        </w:rPr>
        <w:t xml:space="preserve">leasure and </w:t>
      </w:r>
      <w:r w:rsidR="00FD135F">
        <w:rPr>
          <w:rFonts w:ascii="Garamond" w:hAnsi="Garamond"/>
          <w:b/>
        </w:rPr>
        <w:t>V</w:t>
      </w:r>
      <w:r w:rsidRPr="00FD135F">
        <w:rPr>
          <w:rFonts w:ascii="Garamond" w:hAnsi="Garamond"/>
          <w:b/>
        </w:rPr>
        <w:t>irtue</w:t>
      </w:r>
    </w:p>
    <w:p w14:paraId="71C8C37A" w14:textId="59EF7A60" w:rsidR="00C73F11" w:rsidRPr="001352EF" w:rsidRDefault="00C73F11" w:rsidP="00C73F11">
      <w:pPr>
        <w:rPr>
          <w:rFonts w:ascii="Garamond" w:hAnsi="Garamond"/>
          <w:b/>
        </w:rPr>
      </w:pPr>
    </w:p>
    <w:p w14:paraId="72860C30" w14:textId="3B1DCE9C" w:rsidR="00C73F11" w:rsidRPr="001352EF" w:rsidRDefault="00C73F11" w:rsidP="00C73F11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Broader context: </w:t>
      </w:r>
      <w:hyperlink r:id="rId24" w:history="1">
        <w:r w:rsidRPr="001352EF">
          <w:rPr>
            <w:rStyle w:val="Hyperlink"/>
            <w:rFonts w:ascii="Garamond" w:hAnsi="Garamond"/>
          </w:rPr>
          <w:t>Letter 123</w:t>
        </w:r>
      </w:hyperlink>
    </w:p>
    <w:p w14:paraId="1B8E85C6" w14:textId="77777777" w:rsidR="00C73F11" w:rsidRPr="001352EF" w:rsidRDefault="00C73F11" w:rsidP="00C73F11">
      <w:pPr>
        <w:rPr>
          <w:rFonts w:ascii="Garamond" w:hAnsi="Garamond"/>
        </w:rPr>
      </w:pPr>
    </w:p>
    <w:p w14:paraId="45AECBFB" w14:textId="751BB5EE" w:rsidR="00C73F11" w:rsidRPr="001352EF" w:rsidRDefault="00C73F11" w:rsidP="00C73F11">
      <w:pPr>
        <w:rPr>
          <w:rFonts w:ascii="Garamond" w:hAnsi="Garamond"/>
        </w:rPr>
      </w:pPr>
      <w:r w:rsidRPr="001352EF">
        <w:rPr>
          <w:rFonts w:ascii="Garamond" w:hAnsi="Garamond"/>
        </w:rPr>
        <w:t>Latin reading: Paragraphs 1-6, 12-14</w:t>
      </w:r>
    </w:p>
    <w:p w14:paraId="5DD427DC" w14:textId="77777777" w:rsidR="00C73F11" w:rsidRPr="001352EF" w:rsidRDefault="00C73F11" w:rsidP="00C73F11">
      <w:pPr>
        <w:rPr>
          <w:rFonts w:ascii="Garamond" w:hAnsi="Garamond"/>
        </w:rPr>
      </w:pPr>
    </w:p>
    <w:p w14:paraId="2F0A0E4C" w14:textId="185BAD42" w:rsidR="00C73F11" w:rsidRPr="001352EF" w:rsidRDefault="00C73F11" w:rsidP="00C73F11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Commentary: Inwood, pp. </w:t>
      </w:r>
      <w:r w:rsidR="00C26AA0" w:rsidRPr="001352EF">
        <w:rPr>
          <w:rFonts w:ascii="Garamond" w:hAnsi="Garamond"/>
        </w:rPr>
        <w:t>355-360</w:t>
      </w:r>
    </w:p>
    <w:p w14:paraId="2FD33840" w14:textId="77777777" w:rsidR="00C73F11" w:rsidRPr="001352EF" w:rsidRDefault="00C73F11" w:rsidP="00C73F11">
      <w:pPr>
        <w:rPr>
          <w:rFonts w:ascii="Garamond" w:hAnsi="Garamond"/>
          <w:b/>
        </w:rPr>
      </w:pPr>
    </w:p>
    <w:p w14:paraId="5336A5DE" w14:textId="77777777" w:rsidR="00C73F11" w:rsidRPr="001352EF" w:rsidRDefault="00C73F11" w:rsidP="00C73F11">
      <w:pPr>
        <w:rPr>
          <w:rFonts w:ascii="Garamond" w:hAnsi="Garamond"/>
          <w:b/>
        </w:rPr>
      </w:pPr>
    </w:p>
    <w:p w14:paraId="44E310F8" w14:textId="26D6B144" w:rsidR="00C73F11" w:rsidRPr="001352EF" w:rsidRDefault="00C73F11" w:rsidP="008554CD">
      <w:pPr>
        <w:rPr>
          <w:rFonts w:ascii="Garamond" w:hAnsi="Garamond"/>
          <w:b/>
        </w:rPr>
      </w:pPr>
      <w:r w:rsidRPr="00FD135F">
        <w:rPr>
          <w:rFonts w:ascii="Garamond" w:hAnsi="Garamond"/>
          <w:b/>
        </w:rPr>
        <w:t xml:space="preserve">Reading </w:t>
      </w:r>
      <w:r w:rsidR="007D41A2" w:rsidRPr="00FD135F">
        <w:rPr>
          <w:rFonts w:ascii="Garamond" w:hAnsi="Garamond"/>
          <w:b/>
        </w:rPr>
        <w:t>#12</w:t>
      </w:r>
      <w:r w:rsidRPr="00FD135F">
        <w:rPr>
          <w:rFonts w:ascii="Garamond" w:hAnsi="Garamond"/>
          <w:b/>
        </w:rPr>
        <w:t xml:space="preserve">: The </w:t>
      </w:r>
      <w:r w:rsidR="00FD135F">
        <w:rPr>
          <w:rFonts w:ascii="Garamond" w:hAnsi="Garamond"/>
          <w:b/>
        </w:rPr>
        <w:t>T</w:t>
      </w:r>
      <w:r w:rsidRPr="00FD135F">
        <w:rPr>
          <w:rFonts w:ascii="Garamond" w:hAnsi="Garamond"/>
          <w:b/>
        </w:rPr>
        <w:t xml:space="preserve">rue </w:t>
      </w:r>
      <w:r w:rsidR="00FD135F">
        <w:rPr>
          <w:rFonts w:ascii="Garamond" w:hAnsi="Garamond"/>
          <w:b/>
        </w:rPr>
        <w:t>G</w:t>
      </w:r>
      <w:r w:rsidRPr="00FD135F">
        <w:rPr>
          <w:rFonts w:ascii="Garamond" w:hAnsi="Garamond"/>
          <w:b/>
        </w:rPr>
        <w:t xml:space="preserve">ood as </w:t>
      </w:r>
      <w:r w:rsidR="00FD135F">
        <w:rPr>
          <w:rFonts w:ascii="Garamond" w:hAnsi="Garamond"/>
          <w:b/>
        </w:rPr>
        <w:t>A</w:t>
      </w:r>
      <w:r w:rsidRPr="00FD135F">
        <w:rPr>
          <w:rFonts w:ascii="Garamond" w:hAnsi="Garamond"/>
          <w:b/>
        </w:rPr>
        <w:t xml:space="preserve">ttained by </w:t>
      </w:r>
      <w:r w:rsidR="00FD135F">
        <w:rPr>
          <w:rFonts w:ascii="Garamond" w:hAnsi="Garamond"/>
          <w:b/>
        </w:rPr>
        <w:t>R</w:t>
      </w:r>
      <w:r w:rsidRPr="00FD135F">
        <w:rPr>
          <w:rFonts w:ascii="Garamond" w:hAnsi="Garamond"/>
          <w:b/>
        </w:rPr>
        <w:t>eason</w:t>
      </w:r>
    </w:p>
    <w:p w14:paraId="148BC1FB" w14:textId="77777777" w:rsidR="00C73F11" w:rsidRPr="001352EF" w:rsidRDefault="00C73F11" w:rsidP="008554CD">
      <w:pPr>
        <w:rPr>
          <w:rFonts w:ascii="Garamond" w:hAnsi="Garamond"/>
          <w:b/>
        </w:rPr>
      </w:pPr>
    </w:p>
    <w:p w14:paraId="3263CDC8" w14:textId="78937E70" w:rsidR="00C73F11" w:rsidRPr="001352EF" w:rsidRDefault="00C73F11" w:rsidP="00C73F11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Broader context: </w:t>
      </w:r>
      <w:hyperlink r:id="rId25" w:history="1">
        <w:r w:rsidRPr="001352EF">
          <w:rPr>
            <w:rStyle w:val="Hyperlink"/>
            <w:rFonts w:ascii="Garamond" w:hAnsi="Garamond"/>
          </w:rPr>
          <w:t>Letter 124</w:t>
        </w:r>
      </w:hyperlink>
    </w:p>
    <w:p w14:paraId="39DA48B9" w14:textId="77777777" w:rsidR="00C73F11" w:rsidRPr="001352EF" w:rsidRDefault="00C73F11" w:rsidP="00C73F11">
      <w:pPr>
        <w:rPr>
          <w:rFonts w:ascii="Garamond" w:hAnsi="Garamond"/>
        </w:rPr>
      </w:pPr>
    </w:p>
    <w:p w14:paraId="0624BD99" w14:textId="65132969" w:rsidR="00C73F11" w:rsidRPr="001352EF" w:rsidRDefault="00C73F11" w:rsidP="00C73F11">
      <w:pPr>
        <w:rPr>
          <w:rFonts w:ascii="Garamond" w:hAnsi="Garamond"/>
        </w:rPr>
      </w:pPr>
      <w:r w:rsidRPr="001352EF">
        <w:rPr>
          <w:rFonts w:ascii="Garamond" w:hAnsi="Garamond"/>
        </w:rPr>
        <w:t>Latin reading: Paragraphs 2-4, 12-20</w:t>
      </w:r>
    </w:p>
    <w:p w14:paraId="4A8A48A2" w14:textId="77777777" w:rsidR="00C73F11" w:rsidRPr="001352EF" w:rsidRDefault="00C73F11" w:rsidP="00C73F11">
      <w:pPr>
        <w:rPr>
          <w:rFonts w:ascii="Garamond" w:hAnsi="Garamond"/>
        </w:rPr>
      </w:pPr>
    </w:p>
    <w:p w14:paraId="5F1B6D3C" w14:textId="1BCA3FA9" w:rsidR="008554CD" w:rsidRPr="001352EF" w:rsidRDefault="00C73F11">
      <w:pPr>
        <w:rPr>
          <w:rFonts w:ascii="Garamond" w:hAnsi="Garamond"/>
        </w:rPr>
      </w:pPr>
      <w:r w:rsidRPr="001352EF">
        <w:rPr>
          <w:rFonts w:ascii="Garamond" w:hAnsi="Garamond"/>
        </w:rPr>
        <w:t xml:space="preserve">Commentary: Inwood, pp. </w:t>
      </w:r>
      <w:r w:rsidR="00C26AA0" w:rsidRPr="001352EF">
        <w:rPr>
          <w:rFonts w:ascii="Garamond" w:hAnsi="Garamond"/>
        </w:rPr>
        <w:t>361-377</w:t>
      </w:r>
    </w:p>
    <w:sectPr w:rsidR="008554CD" w:rsidRPr="001352EF" w:rsidSect="00F64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5317D" w14:textId="77777777" w:rsidR="009A0578" w:rsidRDefault="009A0578" w:rsidP="00D34C1D">
      <w:r>
        <w:separator/>
      </w:r>
    </w:p>
  </w:endnote>
  <w:endnote w:type="continuationSeparator" w:id="0">
    <w:p w14:paraId="2A83A18F" w14:textId="77777777" w:rsidR="009A0578" w:rsidRDefault="009A0578" w:rsidP="00D3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B2FC0" w14:textId="77777777" w:rsidR="009A0578" w:rsidRDefault="009A0578" w:rsidP="00D34C1D">
      <w:r>
        <w:separator/>
      </w:r>
    </w:p>
  </w:footnote>
  <w:footnote w:type="continuationSeparator" w:id="0">
    <w:p w14:paraId="6698347E" w14:textId="77777777" w:rsidR="009A0578" w:rsidRDefault="009A0578" w:rsidP="00D34C1D">
      <w:r>
        <w:continuationSeparator/>
      </w:r>
    </w:p>
  </w:footnote>
  <w:footnote w:id="1">
    <w:p w14:paraId="7326AC26" w14:textId="226BF705" w:rsidR="00D34C1D" w:rsidRPr="00462409" w:rsidRDefault="00D34C1D">
      <w:pPr>
        <w:pStyle w:val="FootnoteText"/>
        <w:rPr>
          <w:rFonts w:ascii="Garamond" w:hAnsi="Garamond"/>
        </w:rPr>
      </w:pPr>
      <w:r w:rsidRPr="00462409">
        <w:rPr>
          <w:rStyle w:val="FootnoteReference"/>
          <w:rFonts w:ascii="Garamond" w:hAnsi="Garamond"/>
        </w:rPr>
        <w:footnoteRef/>
      </w:r>
      <w:r w:rsidRPr="00462409">
        <w:rPr>
          <w:rFonts w:ascii="Garamond" w:hAnsi="Garamond"/>
        </w:rPr>
        <w:t xml:space="preserve"> The image is of </w:t>
      </w:r>
      <w:r w:rsidRPr="00462409">
        <w:rPr>
          <w:rFonts w:ascii="Garamond" w:hAnsi="Garamond"/>
          <w:i/>
        </w:rPr>
        <w:t xml:space="preserve">Le </w:t>
      </w:r>
      <w:proofErr w:type="spellStart"/>
      <w:r w:rsidRPr="00462409">
        <w:rPr>
          <w:rFonts w:ascii="Garamond" w:hAnsi="Garamond"/>
          <w:i/>
        </w:rPr>
        <w:t>muerte</w:t>
      </w:r>
      <w:proofErr w:type="spellEnd"/>
      <w:r w:rsidRPr="00462409">
        <w:rPr>
          <w:rFonts w:ascii="Garamond" w:hAnsi="Garamond"/>
          <w:i/>
        </w:rPr>
        <w:t xml:space="preserve"> de </w:t>
      </w:r>
      <w:proofErr w:type="spellStart"/>
      <w:r w:rsidRPr="00462409">
        <w:rPr>
          <w:rFonts w:ascii="Garamond" w:hAnsi="Garamond"/>
          <w:i/>
        </w:rPr>
        <w:t>Séneca</w:t>
      </w:r>
      <w:proofErr w:type="spellEnd"/>
      <w:r w:rsidRPr="00462409">
        <w:rPr>
          <w:rFonts w:ascii="Garamond" w:hAnsi="Garamond"/>
        </w:rPr>
        <w:t xml:space="preserve">, by Manuel Domínguez Sánchez (1871).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86"/>
    <w:rsid w:val="00021F5A"/>
    <w:rsid w:val="0003390F"/>
    <w:rsid w:val="00073523"/>
    <w:rsid w:val="00091808"/>
    <w:rsid w:val="000A51AA"/>
    <w:rsid w:val="000B5AB3"/>
    <w:rsid w:val="000C6F68"/>
    <w:rsid w:val="000E2B4B"/>
    <w:rsid w:val="000F2476"/>
    <w:rsid w:val="000F44AE"/>
    <w:rsid w:val="000F5556"/>
    <w:rsid w:val="00122800"/>
    <w:rsid w:val="001352EF"/>
    <w:rsid w:val="00156BF7"/>
    <w:rsid w:val="001759DB"/>
    <w:rsid w:val="001821D8"/>
    <w:rsid w:val="00195F6D"/>
    <w:rsid w:val="001B2FAA"/>
    <w:rsid w:val="001D3093"/>
    <w:rsid w:val="001E1464"/>
    <w:rsid w:val="001F624B"/>
    <w:rsid w:val="00241759"/>
    <w:rsid w:val="0025037D"/>
    <w:rsid w:val="002C1E62"/>
    <w:rsid w:val="002C79F0"/>
    <w:rsid w:val="002D5007"/>
    <w:rsid w:val="002F65BB"/>
    <w:rsid w:val="00341BEE"/>
    <w:rsid w:val="00360B0E"/>
    <w:rsid w:val="00376DD9"/>
    <w:rsid w:val="003774FC"/>
    <w:rsid w:val="00396E0C"/>
    <w:rsid w:val="004207E8"/>
    <w:rsid w:val="0043323B"/>
    <w:rsid w:val="00452850"/>
    <w:rsid w:val="00462409"/>
    <w:rsid w:val="004938E0"/>
    <w:rsid w:val="00495901"/>
    <w:rsid w:val="004B749C"/>
    <w:rsid w:val="00511447"/>
    <w:rsid w:val="005254DF"/>
    <w:rsid w:val="00556A86"/>
    <w:rsid w:val="00582356"/>
    <w:rsid w:val="005869F3"/>
    <w:rsid w:val="0060061C"/>
    <w:rsid w:val="00603A60"/>
    <w:rsid w:val="006060A0"/>
    <w:rsid w:val="00635988"/>
    <w:rsid w:val="00684D8F"/>
    <w:rsid w:val="00691E79"/>
    <w:rsid w:val="006A2456"/>
    <w:rsid w:val="006D6CAB"/>
    <w:rsid w:val="006E56E9"/>
    <w:rsid w:val="00721A9E"/>
    <w:rsid w:val="00735111"/>
    <w:rsid w:val="0076243B"/>
    <w:rsid w:val="00765845"/>
    <w:rsid w:val="00784A97"/>
    <w:rsid w:val="007C6184"/>
    <w:rsid w:val="007D41A2"/>
    <w:rsid w:val="007F6472"/>
    <w:rsid w:val="007F7E71"/>
    <w:rsid w:val="00833647"/>
    <w:rsid w:val="0083531C"/>
    <w:rsid w:val="008554CD"/>
    <w:rsid w:val="008A2CD0"/>
    <w:rsid w:val="008B0F36"/>
    <w:rsid w:val="008B4961"/>
    <w:rsid w:val="008C0E6B"/>
    <w:rsid w:val="008C2949"/>
    <w:rsid w:val="008F758B"/>
    <w:rsid w:val="00901A38"/>
    <w:rsid w:val="009278EE"/>
    <w:rsid w:val="00974FED"/>
    <w:rsid w:val="009A0578"/>
    <w:rsid w:val="009C540F"/>
    <w:rsid w:val="00A006F8"/>
    <w:rsid w:val="00A91660"/>
    <w:rsid w:val="00AC1A1A"/>
    <w:rsid w:val="00B41970"/>
    <w:rsid w:val="00B84D2C"/>
    <w:rsid w:val="00B9340E"/>
    <w:rsid w:val="00BB4562"/>
    <w:rsid w:val="00C24FE1"/>
    <w:rsid w:val="00C26AA0"/>
    <w:rsid w:val="00C572B5"/>
    <w:rsid w:val="00C73F11"/>
    <w:rsid w:val="00D34C1D"/>
    <w:rsid w:val="00D809D5"/>
    <w:rsid w:val="00DA1D94"/>
    <w:rsid w:val="00DA40A4"/>
    <w:rsid w:val="00DA7DF7"/>
    <w:rsid w:val="00DC18F8"/>
    <w:rsid w:val="00DD5A27"/>
    <w:rsid w:val="00DF4057"/>
    <w:rsid w:val="00E25F18"/>
    <w:rsid w:val="00E97FFA"/>
    <w:rsid w:val="00EC136C"/>
    <w:rsid w:val="00EF1C01"/>
    <w:rsid w:val="00EF51E8"/>
    <w:rsid w:val="00F12AE4"/>
    <w:rsid w:val="00F240D3"/>
    <w:rsid w:val="00F61062"/>
    <w:rsid w:val="00F64816"/>
    <w:rsid w:val="00F971A2"/>
    <w:rsid w:val="00FB1655"/>
    <w:rsid w:val="00FC5E2C"/>
    <w:rsid w:val="00FD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A721F"/>
  <w14:defaultImageDpi w14:val="32767"/>
  <w15:chartTrackingRefBased/>
  <w15:docId w15:val="{78C5BD3D-2094-7549-9BAE-3FE7DED8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A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56A86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D34C1D"/>
    <w:pPr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34C1D"/>
    <w:rPr>
      <w:rFonts w:ascii="Times New Roman" w:eastAsia="Times New Roman" w:hAnsi="Times New Roman" w:cs="Times New Roman"/>
      <w:sz w:val="2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4C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4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4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34C1D"/>
    <w:rPr>
      <w:color w:val="954F72" w:themeColor="followedHyperlink"/>
      <w:u w:val="single"/>
    </w:rPr>
  </w:style>
  <w:style w:type="paragraph" w:styleId="Subtitle">
    <w:name w:val="Subtitle"/>
    <w:basedOn w:val="Normal"/>
    <w:link w:val="SubtitleChar"/>
    <w:qFormat/>
    <w:rsid w:val="00D34C1D"/>
    <w:rPr>
      <w:rFonts w:ascii="Times New Roman" w:eastAsia="Times New Roman" w:hAnsi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D34C1D"/>
    <w:rPr>
      <w:rFonts w:ascii="Times New Roman" w:eastAsia="Times New Roman" w:hAnsi="Times New Roman" w:cs="Times New Roman"/>
      <w:szCs w:val="20"/>
    </w:rPr>
  </w:style>
  <w:style w:type="character" w:styleId="Emphasis">
    <w:name w:val="Emphasis"/>
    <w:basedOn w:val="DefaultParagraphFont"/>
    <w:uiPriority w:val="20"/>
    <w:qFormat/>
    <w:rsid w:val="008554C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A40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yofphilosophy.net/later-antiquity/hellenistic" TargetMode="External"/><Relationship Id="rId13" Type="http://schemas.openxmlformats.org/officeDocument/2006/relationships/hyperlink" Target="https://www-loebclassics-com.ezp-prod1.hul.harvard.edu/view/LCL077/1925/volume.xml" TargetMode="External"/><Relationship Id="rId18" Type="http://schemas.openxmlformats.org/officeDocument/2006/relationships/hyperlink" Target="https://www-loebclassics-com.ezp-prod1.hul.harvard.edu/view/seneca_younger-epistles/1917/pb_LCL076.147.xm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-loebclassics-com.ezp-prod1.hul.harvard.edu/view/seneca_younger-epistles/1917/pb_LCL077.217.xml" TargetMode="External"/><Relationship Id="rId7" Type="http://schemas.openxmlformats.org/officeDocument/2006/relationships/hyperlink" Target="https://www.google.com/url?q=https://harvard.zoom.us/j/95848297698&amp;sa=D&amp;source=calendar&amp;usd=2&amp;usg=AOvVaw2gAuM_crfjVQT2bGxTjigl" TargetMode="External"/><Relationship Id="rId12" Type="http://schemas.openxmlformats.org/officeDocument/2006/relationships/hyperlink" Target="https://www-loebclassics-com.ezp-prod1.hul.harvard.edu/view/LCL076/1920/volume.xml" TargetMode="External"/><Relationship Id="rId17" Type="http://schemas.openxmlformats.org/officeDocument/2006/relationships/hyperlink" Target="https://www-loebclassics-com.ezp-prod1.hul.harvard.edu/view/seneca_younger-epistles/1917/pb_LCL076.73.xml" TargetMode="External"/><Relationship Id="rId25" Type="http://schemas.openxmlformats.org/officeDocument/2006/relationships/hyperlink" Target="https://www-loebclassics-com.ezp-prod1.hul.harvard.edu/view/seneca_younger-epistles/1917/pb_LCL077.435.x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-loebclassics-com.ezp-prod1.hul.harvard.edu/view/seneca_younger-epistles/1917/pb_LCL076.1.xml" TargetMode="External"/><Relationship Id="rId20" Type="http://schemas.openxmlformats.org/officeDocument/2006/relationships/hyperlink" Target="https://www-loebclassics-com.ezp-prod1.hul.harvard.edu/view/seneca_younger-epistles/1917/pb_LCL076.323.x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-loebclassics-com.ezp-prod1.hul.harvard.edu/view/LCL075/1917/volume.xml" TargetMode="External"/><Relationship Id="rId24" Type="http://schemas.openxmlformats.org/officeDocument/2006/relationships/hyperlink" Target="https://www-loebclassics-com.ezp-prod1.hul.harvard.edu/view/seneca_younger-epistles/1917/pb_LCL077.425.x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-loebclassics-com.ezp-prod1.hul.harvard.edu/view/seneca_younger-epistles/1917/pb_LCL075.445.xml" TargetMode="External"/><Relationship Id="rId23" Type="http://schemas.openxmlformats.org/officeDocument/2006/relationships/hyperlink" Target="https://www-loebclassics-com.ezp-prod1.hul.harvard.edu/view/seneca_younger-epistles/1917/pb_LCL077.381.xml" TargetMode="External"/><Relationship Id="rId10" Type="http://schemas.openxmlformats.org/officeDocument/2006/relationships/hyperlink" Target="https://www.iep.utm.edu/seneca/" TargetMode="External"/><Relationship Id="rId19" Type="http://schemas.openxmlformats.org/officeDocument/2006/relationships/hyperlink" Target="https://www-loebclassics-com.ezp-prod1.hul.harvard.edu/view/seneca_younger-epistles/1917/pb_LCL076.285.x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lato.stanford.edu/archives/spr2020/entries/seneca/" TargetMode="External"/><Relationship Id="rId14" Type="http://schemas.openxmlformats.org/officeDocument/2006/relationships/hyperlink" Target="https://www-loebclassics-com.ezp-prod1.hul.harvard.edu/view/seneca_younger-epistles/1917/pb_LCL075.387.xml" TargetMode="External"/><Relationship Id="rId22" Type="http://schemas.openxmlformats.org/officeDocument/2006/relationships/hyperlink" Target="https://www-loebclassics-com.ezp-prod1.hul.harvard.edu/view/seneca_younger-epistles/1917/pb_LCL077.361.x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McDonough</dc:creator>
  <cp:keywords/>
  <dc:description/>
  <cp:lastModifiedBy>McDonough, Jeffrey K.</cp:lastModifiedBy>
  <cp:revision>22</cp:revision>
  <dcterms:created xsi:type="dcterms:W3CDTF">2020-05-16T16:38:00Z</dcterms:created>
  <dcterms:modified xsi:type="dcterms:W3CDTF">2020-09-04T13:43:00Z</dcterms:modified>
</cp:coreProperties>
</file>