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C15E" w14:textId="77777777" w:rsidR="00F86D3B" w:rsidRDefault="00CF433D" w:rsidP="00887725">
      <w:pPr>
        <w:pStyle w:val="Title"/>
        <w:rPr>
          <w:rFonts w:ascii="Garamond" w:hAnsi="Garamond"/>
          <w:b/>
          <w:szCs w:val="28"/>
        </w:rPr>
      </w:pPr>
      <w:r w:rsidRPr="00F86D3B">
        <w:rPr>
          <w:rFonts w:ascii="Garamond" w:hAnsi="Garamond"/>
          <w:b/>
          <w:szCs w:val="28"/>
        </w:rPr>
        <w:t xml:space="preserve">Saints, Heretics and Atheists: </w:t>
      </w:r>
    </w:p>
    <w:p w14:paraId="688E9205" w14:textId="33F81D1D" w:rsidR="00887725" w:rsidRPr="00C826F3" w:rsidRDefault="00CF433D" w:rsidP="00887725">
      <w:pPr>
        <w:pStyle w:val="Title"/>
        <w:rPr>
          <w:rFonts w:ascii="Garamond" w:hAnsi="Garamond"/>
          <w:b/>
          <w:sz w:val="32"/>
          <w:szCs w:val="32"/>
        </w:rPr>
      </w:pPr>
      <w:r w:rsidRPr="00F86D3B">
        <w:rPr>
          <w:rFonts w:ascii="Garamond" w:hAnsi="Garamond"/>
          <w:b/>
          <w:szCs w:val="28"/>
        </w:rPr>
        <w:t>A Historical Introduction to the Philosophy of Religion</w:t>
      </w:r>
      <w:r w:rsidR="00887725" w:rsidRPr="004369CD">
        <w:rPr>
          <w:rStyle w:val="FootnoteReference"/>
          <w:rFonts w:ascii="Garamond" w:hAnsi="Garamond"/>
          <w:b/>
          <w:sz w:val="32"/>
          <w:szCs w:val="32"/>
        </w:rPr>
        <w:footnoteReference w:id="1"/>
      </w:r>
    </w:p>
    <w:p w14:paraId="79FA9735" w14:textId="4E9FDF62" w:rsidR="00887725" w:rsidRDefault="00887725" w:rsidP="00887725">
      <w:pPr>
        <w:pStyle w:val="Title"/>
        <w:jc w:val="left"/>
        <w:rPr>
          <w:rFonts w:ascii="Garamond" w:hAnsi="Garamond"/>
          <w:sz w:val="24"/>
          <w:szCs w:val="24"/>
        </w:rPr>
      </w:pPr>
    </w:p>
    <w:p w14:paraId="66499B20" w14:textId="77777777" w:rsidR="00787975" w:rsidRPr="000F4347" w:rsidRDefault="00787975" w:rsidP="00887725">
      <w:pPr>
        <w:pStyle w:val="Title"/>
        <w:jc w:val="left"/>
        <w:rPr>
          <w:rFonts w:ascii="Garamond" w:hAnsi="Garamond"/>
          <w:sz w:val="24"/>
          <w:szCs w:val="24"/>
        </w:rPr>
      </w:pPr>
    </w:p>
    <w:p w14:paraId="1D87CF28" w14:textId="77777777" w:rsidR="00887725" w:rsidRPr="00370A86" w:rsidRDefault="00887725" w:rsidP="00887725">
      <w:pPr>
        <w:pStyle w:val="Subtitle"/>
        <w:jc w:val="center"/>
        <w:rPr>
          <w:rFonts w:ascii="Garamond" w:hAnsi="Garamond"/>
          <w:szCs w:val="24"/>
        </w:rPr>
      </w:pPr>
      <w:r>
        <w:rPr>
          <w:rFonts w:ascii="Garamond" w:hAnsi="Garamond"/>
          <w:noProof/>
          <w:szCs w:val="24"/>
        </w:rPr>
        <w:drawing>
          <wp:inline distT="0" distB="0" distL="0" distR="0" wp14:anchorId="0D2F205A" wp14:editId="63F8CFB8">
            <wp:extent cx="5943134" cy="3027763"/>
            <wp:effectExtent l="63500" t="63500" r="127635" b="1219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phael_The Disputation of the Holy Sacrament_ca 1509.jpg"/>
                    <pic:cNvPicPr/>
                  </pic:nvPicPr>
                  <pic:blipFill rotWithShape="1">
                    <a:blip r:embed="rId6">
                      <a:extLst>
                        <a:ext uri="{28A0092B-C50C-407E-A947-70E740481C1C}">
                          <a14:useLocalDpi xmlns:a14="http://schemas.microsoft.com/office/drawing/2010/main"/>
                        </a:ext>
                      </a:extLst>
                    </a:blip>
                    <a:srcRect/>
                    <a:stretch/>
                  </pic:blipFill>
                  <pic:spPr bwMode="auto">
                    <a:xfrm>
                      <a:off x="0" y="0"/>
                      <a:ext cx="5943600" cy="3028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D8E958B" w14:textId="77777777" w:rsidR="00887725" w:rsidRPr="008E6155" w:rsidRDefault="00887725" w:rsidP="00887725">
      <w:pPr>
        <w:pStyle w:val="Subtitle"/>
        <w:rPr>
          <w:rFonts w:ascii="Garamond" w:hAnsi="Garamond"/>
          <w:b/>
          <w:bCs/>
          <w:szCs w:val="24"/>
          <w:lang w:val="fr-FR"/>
        </w:rPr>
      </w:pPr>
    </w:p>
    <w:p w14:paraId="020BA8E7" w14:textId="77777777" w:rsidR="00887725" w:rsidRPr="008E6155" w:rsidRDefault="00887725" w:rsidP="00887725">
      <w:pPr>
        <w:pStyle w:val="Subtitle"/>
        <w:rPr>
          <w:rFonts w:ascii="Garamond" w:hAnsi="Garamond"/>
          <w:b/>
          <w:bCs/>
          <w:szCs w:val="24"/>
          <w:lang w:val="fr-FR"/>
        </w:rPr>
      </w:pPr>
    </w:p>
    <w:p w14:paraId="145B4A43" w14:textId="7F79FBD6" w:rsidR="00887725" w:rsidRPr="00BF3545" w:rsidRDefault="00887725" w:rsidP="00887725">
      <w:pPr>
        <w:rPr>
          <w:rFonts w:ascii="Garamond" w:hAnsi="Garamond"/>
        </w:rPr>
      </w:pPr>
      <w:r w:rsidRPr="008E6155">
        <w:rPr>
          <w:rFonts w:ascii="Garamond" w:hAnsi="Garamond"/>
          <w:b/>
          <w:bCs/>
        </w:rPr>
        <w:t>Recommended Texts</w:t>
      </w:r>
      <w:r w:rsidRPr="00BF3545">
        <w:rPr>
          <w:rFonts w:ascii="Garamond" w:hAnsi="Garamond"/>
          <w:b/>
          <w:bCs/>
        </w:rPr>
        <w:t>:</w:t>
      </w:r>
    </w:p>
    <w:p w14:paraId="0D3CA37E" w14:textId="77777777" w:rsidR="00887725" w:rsidRDefault="00887725" w:rsidP="00887725">
      <w:pPr>
        <w:ind w:left="720"/>
        <w:rPr>
          <w:rFonts w:ascii="Garamond" w:hAnsi="Garamond"/>
        </w:rPr>
      </w:pPr>
    </w:p>
    <w:p w14:paraId="6A58D743" w14:textId="77777777" w:rsidR="00887725" w:rsidRPr="008E6155" w:rsidRDefault="00887725" w:rsidP="00887725">
      <w:pPr>
        <w:ind w:left="720"/>
        <w:rPr>
          <w:rFonts w:ascii="Garamond" w:hAnsi="Garamond"/>
        </w:rPr>
      </w:pPr>
      <w:r w:rsidRPr="008E6155">
        <w:rPr>
          <w:rFonts w:ascii="Garamond" w:hAnsi="Garamond"/>
        </w:rPr>
        <w:t xml:space="preserve">Augustine, </w:t>
      </w:r>
      <w:r w:rsidRPr="008E6155">
        <w:rPr>
          <w:rFonts w:ascii="Garamond" w:hAnsi="Garamond"/>
          <w:i/>
        </w:rPr>
        <w:t>On Free Choice of the Will</w:t>
      </w:r>
      <w:r w:rsidRPr="008E6155">
        <w:rPr>
          <w:rFonts w:ascii="Garamond" w:hAnsi="Garamond"/>
        </w:rPr>
        <w:t>, translated by Thomas Williams (Indianapolis, Indiana:  Hackett Publishing Company, 1993). ISBN:  0-87220-188-0</w:t>
      </w:r>
    </w:p>
    <w:p w14:paraId="6D4711E9" w14:textId="77777777" w:rsidR="00887725" w:rsidRPr="008E6155" w:rsidRDefault="00887725" w:rsidP="00887725">
      <w:pPr>
        <w:rPr>
          <w:rFonts w:ascii="Garamond" w:hAnsi="Garamond"/>
        </w:rPr>
      </w:pPr>
    </w:p>
    <w:p w14:paraId="5A86F90D" w14:textId="77777777" w:rsidR="00887725" w:rsidRPr="008E6155" w:rsidRDefault="00887725" w:rsidP="00887725">
      <w:pPr>
        <w:ind w:left="720"/>
        <w:rPr>
          <w:rFonts w:ascii="Garamond" w:hAnsi="Garamond"/>
        </w:rPr>
      </w:pPr>
      <w:r w:rsidRPr="008E6155">
        <w:rPr>
          <w:rFonts w:ascii="Garamond" w:hAnsi="Garamond"/>
          <w:i/>
        </w:rPr>
        <w:t>Medieval Islamic Philosophical Writings</w:t>
      </w:r>
      <w:r>
        <w:rPr>
          <w:rFonts w:ascii="Garamond" w:hAnsi="Garamond"/>
          <w:i/>
        </w:rPr>
        <w:t>,</w:t>
      </w:r>
      <w:r>
        <w:rPr>
          <w:rFonts w:ascii="Garamond" w:hAnsi="Garamond"/>
        </w:rPr>
        <w:t xml:space="preserve"> translated and edited by </w:t>
      </w:r>
      <w:r w:rsidRPr="008E6155">
        <w:rPr>
          <w:rFonts w:ascii="Garamond" w:hAnsi="Garamond"/>
        </w:rPr>
        <w:t xml:space="preserve">Muhammad Ali </w:t>
      </w:r>
      <w:proofErr w:type="spellStart"/>
      <w:r w:rsidRPr="008E6155">
        <w:rPr>
          <w:rFonts w:ascii="Garamond" w:hAnsi="Garamond"/>
        </w:rPr>
        <w:t>Khalidi</w:t>
      </w:r>
      <w:proofErr w:type="spellEnd"/>
      <w:r w:rsidRPr="008E6155">
        <w:rPr>
          <w:rFonts w:ascii="Garamond" w:hAnsi="Garamond"/>
        </w:rPr>
        <w:t xml:space="preserve"> (New York:  Cambridge University Press 2005). ISBN:  0-521-52963-8. </w:t>
      </w:r>
    </w:p>
    <w:p w14:paraId="070D46A9" w14:textId="77777777" w:rsidR="00887725" w:rsidRPr="008E6155" w:rsidRDefault="00887725" w:rsidP="00887725">
      <w:pPr>
        <w:rPr>
          <w:rFonts w:ascii="Garamond" w:hAnsi="Garamond"/>
        </w:rPr>
      </w:pPr>
    </w:p>
    <w:p w14:paraId="235C7A31" w14:textId="0CB8A241" w:rsidR="00887725" w:rsidRDefault="00887725" w:rsidP="00887725">
      <w:pPr>
        <w:ind w:left="720"/>
        <w:rPr>
          <w:rFonts w:ascii="Garamond" w:hAnsi="Garamond"/>
        </w:rPr>
      </w:pPr>
      <w:r w:rsidRPr="008E6155">
        <w:rPr>
          <w:rFonts w:ascii="Garamond" w:hAnsi="Garamond"/>
        </w:rPr>
        <w:t xml:space="preserve">Aquinas, </w:t>
      </w:r>
      <w:r w:rsidRPr="008E6155">
        <w:rPr>
          <w:rFonts w:ascii="Garamond" w:hAnsi="Garamond"/>
          <w:i/>
        </w:rPr>
        <w:t>A Summary of Philosophy</w:t>
      </w:r>
      <w:r w:rsidRPr="008E6155">
        <w:rPr>
          <w:rFonts w:ascii="Garamond" w:hAnsi="Garamond"/>
        </w:rPr>
        <w:t>, trans</w:t>
      </w:r>
      <w:r>
        <w:rPr>
          <w:rFonts w:ascii="Garamond" w:hAnsi="Garamond"/>
        </w:rPr>
        <w:t>lated</w:t>
      </w:r>
      <w:r w:rsidRPr="008E6155">
        <w:rPr>
          <w:rFonts w:ascii="Garamond" w:hAnsi="Garamond"/>
        </w:rPr>
        <w:t xml:space="preserve"> and edited by Richard J. Regan (Indianapolis, Indiana:  Hackett Publishing Company, 2003). ISBN:  0-87220-657-2</w:t>
      </w:r>
    </w:p>
    <w:p w14:paraId="22353CA1" w14:textId="6F63BBFC" w:rsidR="007A3AEE" w:rsidRDefault="007A3AEE" w:rsidP="00887725">
      <w:pPr>
        <w:ind w:left="720"/>
        <w:rPr>
          <w:rFonts w:ascii="Garamond" w:hAnsi="Garamond"/>
        </w:rPr>
      </w:pPr>
    </w:p>
    <w:p w14:paraId="602FA808" w14:textId="1CD10E9A" w:rsidR="007A3AEE" w:rsidRPr="008E6155" w:rsidRDefault="007A3AEE" w:rsidP="00887725">
      <w:pPr>
        <w:ind w:left="720"/>
        <w:rPr>
          <w:rFonts w:ascii="Garamond" w:hAnsi="Garamond"/>
        </w:rPr>
      </w:pPr>
      <w:r>
        <w:rPr>
          <w:rFonts w:ascii="Garamond" w:hAnsi="Garamond"/>
        </w:rPr>
        <w:t xml:space="preserve">Marguerite </w:t>
      </w:r>
      <w:proofErr w:type="spellStart"/>
      <w:r>
        <w:rPr>
          <w:rFonts w:ascii="Garamond" w:hAnsi="Garamond"/>
        </w:rPr>
        <w:t>Porete</w:t>
      </w:r>
      <w:proofErr w:type="spellEnd"/>
      <w:r>
        <w:rPr>
          <w:rFonts w:ascii="Garamond" w:hAnsi="Garamond"/>
        </w:rPr>
        <w:t xml:space="preserve">, The Mirror of Simple Souls, translated and edited by Ellen </w:t>
      </w:r>
      <w:proofErr w:type="spellStart"/>
      <w:r>
        <w:rPr>
          <w:rFonts w:ascii="Garamond" w:hAnsi="Garamond"/>
        </w:rPr>
        <w:t>Babinsky</w:t>
      </w:r>
      <w:proofErr w:type="spellEnd"/>
      <w:r>
        <w:rPr>
          <w:rFonts w:ascii="Garamond" w:hAnsi="Garamond"/>
        </w:rPr>
        <w:t xml:space="preserve"> (Mahwah, New Jersey: Paulist Press, 1993). ISBN: </w:t>
      </w:r>
      <w:r w:rsidRPr="007A3AEE">
        <w:rPr>
          <w:rFonts w:ascii="Garamond" w:hAnsi="Garamond"/>
        </w:rPr>
        <w:t>9</w:t>
      </w:r>
      <w:r w:rsidR="00F86D3B">
        <w:rPr>
          <w:rFonts w:ascii="Garamond" w:hAnsi="Garamond"/>
        </w:rPr>
        <w:t>7</w:t>
      </w:r>
      <w:r w:rsidRPr="007A3AEE">
        <w:rPr>
          <w:rFonts w:ascii="Garamond" w:hAnsi="Garamond"/>
        </w:rPr>
        <w:t>8</w:t>
      </w:r>
      <w:r w:rsidR="00F86D3B">
        <w:rPr>
          <w:rFonts w:ascii="Garamond" w:hAnsi="Garamond"/>
        </w:rPr>
        <w:t>-</w:t>
      </w:r>
      <w:r w:rsidRPr="007A3AEE">
        <w:rPr>
          <w:rFonts w:ascii="Garamond" w:hAnsi="Garamond"/>
        </w:rPr>
        <w:t>0809134274</w:t>
      </w:r>
    </w:p>
    <w:p w14:paraId="2DC87781" w14:textId="77777777" w:rsidR="00887725" w:rsidRPr="008E6155" w:rsidRDefault="00887725" w:rsidP="00887725">
      <w:pPr>
        <w:ind w:left="720"/>
        <w:rPr>
          <w:rFonts w:ascii="Garamond" w:hAnsi="Garamond"/>
        </w:rPr>
      </w:pPr>
    </w:p>
    <w:p w14:paraId="7E9D5132" w14:textId="77777777" w:rsidR="00887725" w:rsidRPr="008E6155" w:rsidRDefault="00887725" w:rsidP="00887725">
      <w:pPr>
        <w:ind w:left="720"/>
        <w:rPr>
          <w:rFonts w:ascii="Garamond" w:hAnsi="Garamond"/>
        </w:rPr>
      </w:pPr>
      <w:r w:rsidRPr="008E6155">
        <w:rPr>
          <w:rFonts w:ascii="Garamond" w:hAnsi="Garamond"/>
        </w:rPr>
        <w:t xml:space="preserve">Baruch Spinoza, </w:t>
      </w:r>
      <w:r w:rsidRPr="008E6155">
        <w:rPr>
          <w:rFonts w:ascii="Garamond" w:hAnsi="Garamond"/>
          <w:i/>
        </w:rPr>
        <w:t>The Ethics</w:t>
      </w:r>
      <w:r w:rsidRPr="008E6155">
        <w:rPr>
          <w:rFonts w:ascii="Garamond" w:hAnsi="Garamond"/>
        </w:rPr>
        <w:t>, translated by Samuel Shirley, edited by Seymour Feldman (Indianapolis, Indiana:  Hackett Publishing Company, 1992). ISBN: 0-872201-309</w:t>
      </w:r>
    </w:p>
    <w:p w14:paraId="7440FA59" w14:textId="77777777" w:rsidR="00887725" w:rsidRPr="008E6155" w:rsidRDefault="00887725" w:rsidP="00887725">
      <w:pPr>
        <w:ind w:left="720"/>
        <w:rPr>
          <w:rFonts w:ascii="Garamond" w:hAnsi="Garamond"/>
        </w:rPr>
      </w:pPr>
    </w:p>
    <w:p w14:paraId="7BD12D07" w14:textId="77777777" w:rsidR="00887725" w:rsidRPr="008E6155" w:rsidRDefault="00887725" w:rsidP="00887725">
      <w:pPr>
        <w:ind w:left="720"/>
        <w:rPr>
          <w:rFonts w:ascii="Garamond" w:hAnsi="Garamond"/>
        </w:rPr>
      </w:pPr>
      <w:r w:rsidRPr="008E6155">
        <w:rPr>
          <w:rFonts w:ascii="Garamond" w:hAnsi="Garamond"/>
        </w:rPr>
        <w:t xml:space="preserve">David Hume, </w:t>
      </w:r>
      <w:r w:rsidRPr="008E6155">
        <w:rPr>
          <w:rFonts w:ascii="Garamond" w:hAnsi="Garamond"/>
          <w:i/>
        </w:rPr>
        <w:t>Dialogues Concerning Natural Religion, Second Edition</w:t>
      </w:r>
      <w:r w:rsidRPr="008E6155">
        <w:rPr>
          <w:rFonts w:ascii="Garamond" w:hAnsi="Garamond"/>
        </w:rPr>
        <w:t>, edited by Richard H. Popkin (Indianapolis, Indiana:  Hackett Publishing Company, 1980). ISBN:  0-87220-402-2</w:t>
      </w:r>
    </w:p>
    <w:p w14:paraId="22B959C2" w14:textId="77777777" w:rsidR="00887725" w:rsidRPr="008E6155" w:rsidRDefault="00887725" w:rsidP="00887725">
      <w:pPr>
        <w:ind w:left="720"/>
        <w:rPr>
          <w:rFonts w:ascii="Garamond" w:hAnsi="Garamond"/>
        </w:rPr>
      </w:pPr>
    </w:p>
    <w:p w14:paraId="3BB536D4" w14:textId="77777777" w:rsidR="00887725" w:rsidRPr="008E6155" w:rsidRDefault="00887725" w:rsidP="00887725">
      <w:pPr>
        <w:ind w:left="720"/>
        <w:rPr>
          <w:rFonts w:ascii="Garamond" w:hAnsi="Garamond"/>
        </w:rPr>
      </w:pPr>
      <w:r w:rsidRPr="008E6155">
        <w:rPr>
          <w:rFonts w:ascii="Garamond" w:hAnsi="Garamond"/>
        </w:rPr>
        <w:lastRenderedPageBreak/>
        <w:t xml:space="preserve">Friedrich Nietzsche, </w:t>
      </w:r>
      <w:r w:rsidRPr="008E6155">
        <w:rPr>
          <w:rFonts w:ascii="Garamond" w:hAnsi="Garamond"/>
          <w:i/>
        </w:rPr>
        <w:t>On the Genealogy of Morality</w:t>
      </w:r>
      <w:r w:rsidRPr="008E6155">
        <w:rPr>
          <w:rFonts w:ascii="Garamond" w:hAnsi="Garamond"/>
        </w:rPr>
        <w:t xml:space="preserve">, translated </w:t>
      </w:r>
      <w:proofErr w:type="spellStart"/>
      <w:r w:rsidRPr="008E6155">
        <w:rPr>
          <w:rFonts w:ascii="Garamond" w:hAnsi="Garamond"/>
        </w:rPr>
        <w:t>Maudemarie</w:t>
      </w:r>
      <w:proofErr w:type="spellEnd"/>
      <w:r w:rsidRPr="008E6155">
        <w:rPr>
          <w:rFonts w:ascii="Garamond" w:hAnsi="Garamond"/>
        </w:rPr>
        <w:t xml:space="preserve"> Clark and Alan J. Swensen (Indianapolis, Indiana:  Hackett Publishing Company, 1998). ISBN:  0-87220-283-6</w:t>
      </w:r>
    </w:p>
    <w:p w14:paraId="32052434" w14:textId="77777777" w:rsidR="00887725" w:rsidRPr="008E6155" w:rsidRDefault="00887725" w:rsidP="00887725">
      <w:pPr>
        <w:ind w:left="720"/>
        <w:rPr>
          <w:rFonts w:ascii="Garamond" w:hAnsi="Garamond"/>
        </w:rPr>
      </w:pPr>
    </w:p>
    <w:p w14:paraId="0A4AB9C8" w14:textId="77777777" w:rsidR="00887725" w:rsidRPr="008E6155" w:rsidRDefault="00887725" w:rsidP="00887725">
      <w:pPr>
        <w:ind w:left="720"/>
        <w:rPr>
          <w:rFonts w:ascii="Garamond" w:hAnsi="Garamond"/>
        </w:rPr>
      </w:pPr>
    </w:p>
    <w:p w14:paraId="6FC5EDCB" w14:textId="77777777" w:rsidR="00887725" w:rsidRPr="008E6155" w:rsidRDefault="00887725" w:rsidP="00887725">
      <w:pPr>
        <w:jc w:val="both"/>
        <w:rPr>
          <w:rFonts w:ascii="Garamond" w:hAnsi="Garamond"/>
          <w:b/>
          <w:bCs/>
        </w:rPr>
      </w:pPr>
      <w:r w:rsidRPr="008E6155">
        <w:rPr>
          <w:rFonts w:ascii="Garamond" w:hAnsi="Garamond"/>
          <w:b/>
          <w:bCs/>
        </w:rPr>
        <w:t xml:space="preserve">Course Description: </w:t>
      </w:r>
    </w:p>
    <w:p w14:paraId="1740712C" w14:textId="77777777" w:rsidR="00887725" w:rsidRPr="008E6155" w:rsidRDefault="00887725" w:rsidP="00887725">
      <w:pPr>
        <w:jc w:val="both"/>
        <w:rPr>
          <w:rFonts w:ascii="Garamond" w:hAnsi="Garamond"/>
        </w:rPr>
      </w:pPr>
    </w:p>
    <w:p w14:paraId="1E42522B" w14:textId="77777777" w:rsidR="00887725" w:rsidRPr="008E6155" w:rsidRDefault="00887725" w:rsidP="00887725">
      <w:pPr>
        <w:jc w:val="both"/>
        <w:rPr>
          <w:rFonts w:ascii="Garamond" w:hAnsi="Garamond"/>
        </w:rPr>
      </w:pPr>
      <w:r w:rsidRPr="008E6155">
        <w:rPr>
          <w:rFonts w:ascii="Garamond" w:hAnsi="Garamond"/>
        </w:rPr>
        <w:t xml:space="preserve">Does God exist? What is the nature of evil and where does it come from? Are humans free? Responsible? Immortal? Does it matter? This course will explore foundational questions in the philosophy of western religion through the study of classic works </w:t>
      </w:r>
      <w:r w:rsidRPr="00452F90">
        <w:rPr>
          <w:rFonts w:ascii="Garamond" w:hAnsi="Garamond"/>
        </w:rPr>
        <w:t xml:space="preserve">by Plato, Augustine, Anselm, Ibn </w:t>
      </w:r>
      <w:proofErr w:type="spellStart"/>
      <w:r w:rsidRPr="00452F90">
        <w:rPr>
          <w:rFonts w:ascii="Garamond" w:hAnsi="Garamond"/>
        </w:rPr>
        <w:t>Sina</w:t>
      </w:r>
      <w:proofErr w:type="spellEnd"/>
      <w:r w:rsidRPr="00452F90">
        <w:rPr>
          <w:rFonts w:ascii="Garamond" w:hAnsi="Garamond"/>
        </w:rPr>
        <w:t>, Al-Ghazali, Aquinas, Pascal, Spinoza, Hume, Mill, Nietzsche and James</w:t>
      </w:r>
      <w:r>
        <w:rPr>
          <w:rFonts w:ascii="Garamond" w:hAnsi="Garamond"/>
        </w:rPr>
        <w:t xml:space="preserve">, as well </w:t>
      </w:r>
      <w:r w:rsidRPr="00452F90">
        <w:rPr>
          <w:rFonts w:ascii="Garamond" w:hAnsi="Garamond"/>
        </w:rPr>
        <w:t xml:space="preserve">as discussions by contemporary authors such as Pamala Milne, </w:t>
      </w:r>
      <w:proofErr w:type="spellStart"/>
      <w:r w:rsidRPr="00452F90">
        <w:rPr>
          <w:rFonts w:ascii="Garamond" w:hAnsi="Garamond"/>
        </w:rPr>
        <w:t>Marilynne</w:t>
      </w:r>
      <w:proofErr w:type="spellEnd"/>
      <w:r w:rsidRPr="00452F90">
        <w:rPr>
          <w:rFonts w:ascii="Garamond" w:hAnsi="Garamond"/>
        </w:rPr>
        <w:t xml:space="preserve"> Robinson and Daniel</w:t>
      </w:r>
      <w:r>
        <w:rPr>
          <w:rFonts w:ascii="Garamond" w:hAnsi="Garamond"/>
        </w:rPr>
        <w:t xml:space="preserve"> Dennett. </w:t>
      </w:r>
      <w:r w:rsidRPr="008E6155">
        <w:rPr>
          <w:rFonts w:ascii="Garamond" w:hAnsi="Garamond"/>
        </w:rPr>
        <w:t xml:space="preserve">Students will have the opportunity to reexamine their own views and assumptions about religion in </w:t>
      </w:r>
      <w:r>
        <w:rPr>
          <w:rFonts w:ascii="Garamond" w:hAnsi="Garamond"/>
        </w:rPr>
        <w:t>dialogue with</w:t>
      </w:r>
      <w:r w:rsidRPr="008E6155">
        <w:rPr>
          <w:rFonts w:ascii="Garamond" w:hAnsi="Garamond"/>
        </w:rPr>
        <w:t xml:space="preserve"> great thinkers of the past</w:t>
      </w:r>
      <w:r>
        <w:rPr>
          <w:rFonts w:ascii="Garamond" w:hAnsi="Garamond"/>
        </w:rPr>
        <w:t xml:space="preserve"> and present</w:t>
      </w:r>
      <w:r w:rsidRPr="008E6155">
        <w:rPr>
          <w:rFonts w:ascii="Garamond" w:hAnsi="Garamond"/>
        </w:rPr>
        <w:t xml:space="preserve">.   </w:t>
      </w:r>
    </w:p>
    <w:p w14:paraId="71570366" w14:textId="77777777" w:rsidR="00887725" w:rsidRPr="008E6155" w:rsidRDefault="00887725" w:rsidP="00887725">
      <w:pPr>
        <w:jc w:val="both"/>
        <w:rPr>
          <w:rFonts w:ascii="Garamond" w:hAnsi="Garamond"/>
        </w:rPr>
      </w:pPr>
    </w:p>
    <w:p w14:paraId="322A60B5" w14:textId="77777777" w:rsidR="00887725" w:rsidRPr="008E6155" w:rsidRDefault="00887725" w:rsidP="00887725">
      <w:pPr>
        <w:jc w:val="both"/>
        <w:rPr>
          <w:rFonts w:ascii="Garamond" w:hAnsi="Garamond"/>
        </w:rPr>
      </w:pPr>
    </w:p>
    <w:p w14:paraId="57C26CDB" w14:textId="77777777" w:rsidR="00887725" w:rsidRDefault="00887725" w:rsidP="00887725">
      <w:pPr>
        <w:jc w:val="center"/>
        <w:rPr>
          <w:rFonts w:ascii="Garamond" w:hAnsi="Garamond"/>
          <w:b/>
          <w:bCs/>
        </w:rPr>
      </w:pPr>
      <w:r w:rsidRPr="00C32A20">
        <w:rPr>
          <w:rFonts w:ascii="Garamond" w:hAnsi="Garamond"/>
          <w:b/>
          <w:bCs/>
        </w:rPr>
        <w:t>Tentative Schedule</w:t>
      </w:r>
    </w:p>
    <w:p w14:paraId="58D6FE2D" w14:textId="77777777" w:rsidR="00887725" w:rsidRPr="00C32A20" w:rsidRDefault="00887725" w:rsidP="00887725">
      <w:pPr>
        <w:jc w:val="center"/>
        <w:rPr>
          <w:rFonts w:ascii="Garamond" w:hAnsi="Garamond"/>
        </w:rPr>
      </w:pPr>
    </w:p>
    <w:p w14:paraId="4AE1DE69" w14:textId="77777777" w:rsidR="00887725" w:rsidRPr="00C32A20" w:rsidRDefault="00887725" w:rsidP="00887725">
      <w:pPr>
        <w:pStyle w:val="Subtitle"/>
        <w:rPr>
          <w:rFonts w:ascii="Garamond" w:hAnsi="Garamond"/>
          <w:b/>
          <w:bCs/>
          <w:szCs w:val="24"/>
        </w:rPr>
      </w:pPr>
    </w:p>
    <w:tbl>
      <w:tblPr>
        <w:tblStyle w:val="TableGrid"/>
        <w:tblW w:w="0" w:type="auto"/>
        <w:tblLook w:val="04A0" w:firstRow="1" w:lastRow="0" w:firstColumn="1" w:lastColumn="0" w:noHBand="0" w:noVBand="1"/>
      </w:tblPr>
      <w:tblGrid>
        <w:gridCol w:w="1885"/>
        <w:gridCol w:w="7465"/>
      </w:tblGrid>
      <w:tr w:rsidR="00887725" w:rsidRPr="00C32A20" w14:paraId="2DA10326" w14:textId="77777777" w:rsidTr="00B4274A">
        <w:tc>
          <w:tcPr>
            <w:tcW w:w="1885" w:type="dxa"/>
          </w:tcPr>
          <w:p w14:paraId="561E48B8" w14:textId="2EDCD548" w:rsidR="00887725" w:rsidRPr="00C32A20" w:rsidRDefault="000036AC" w:rsidP="00B4274A">
            <w:pPr>
              <w:pStyle w:val="Subtitle"/>
              <w:rPr>
                <w:rFonts w:ascii="Garamond" w:hAnsi="Garamond"/>
                <w:b/>
                <w:bCs/>
                <w:szCs w:val="24"/>
              </w:rPr>
            </w:pPr>
            <w:r>
              <w:rPr>
                <w:rFonts w:ascii="Garamond" w:hAnsi="Garamond"/>
                <w:b/>
                <w:bCs/>
                <w:szCs w:val="24"/>
              </w:rPr>
              <w:t xml:space="preserve">Class </w:t>
            </w:r>
          </w:p>
        </w:tc>
        <w:tc>
          <w:tcPr>
            <w:tcW w:w="7465" w:type="dxa"/>
          </w:tcPr>
          <w:p w14:paraId="62D8AE3B" w14:textId="77777777" w:rsidR="00887725" w:rsidRPr="00C32A20" w:rsidRDefault="00887725" w:rsidP="00B4274A">
            <w:pPr>
              <w:pStyle w:val="Subtitle"/>
              <w:rPr>
                <w:rFonts w:ascii="Garamond" w:hAnsi="Garamond"/>
                <w:b/>
                <w:bCs/>
                <w:szCs w:val="24"/>
              </w:rPr>
            </w:pPr>
            <w:r w:rsidRPr="00C32A20">
              <w:rPr>
                <w:rFonts w:ascii="Garamond" w:hAnsi="Garamond"/>
                <w:b/>
                <w:szCs w:val="24"/>
              </w:rPr>
              <w:t>What Is Piety?</w:t>
            </w:r>
          </w:p>
        </w:tc>
      </w:tr>
      <w:tr w:rsidR="00887725" w:rsidRPr="00C32A20" w14:paraId="2096FB66" w14:textId="77777777" w:rsidTr="00B4274A">
        <w:tc>
          <w:tcPr>
            <w:tcW w:w="1885" w:type="dxa"/>
          </w:tcPr>
          <w:p w14:paraId="150289FF" w14:textId="77777777" w:rsidR="00887725" w:rsidRPr="00C32A20" w:rsidRDefault="00887725" w:rsidP="00B4274A">
            <w:pPr>
              <w:pStyle w:val="Subtitle"/>
              <w:rPr>
                <w:rFonts w:ascii="Garamond" w:hAnsi="Garamond"/>
                <w:bCs/>
                <w:szCs w:val="24"/>
              </w:rPr>
            </w:pPr>
            <w:r w:rsidRPr="00C32A20">
              <w:rPr>
                <w:rFonts w:ascii="Garamond" w:hAnsi="Garamond"/>
                <w:bCs/>
                <w:szCs w:val="24"/>
              </w:rPr>
              <w:t>Core reading:</w:t>
            </w:r>
          </w:p>
        </w:tc>
        <w:tc>
          <w:tcPr>
            <w:tcW w:w="7465" w:type="dxa"/>
          </w:tcPr>
          <w:p w14:paraId="1D74B02A" w14:textId="77777777" w:rsidR="00887725" w:rsidRPr="00C32A20" w:rsidRDefault="00454017" w:rsidP="00B4274A">
            <w:pPr>
              <w:rPr>
                <w:rFonts w:ascii="Garamond" w:hAnsi="Garamond"/>
              </w:rPr>
            </w:pPr>
            <w:hyperlink r:id="rId7" w:history="1">
              <w:r w:rsidR="00887725" w:rsidRPr="00D1095F">
                <w:rPr>
                  <w:rStyle w:val="Hyperlink"/>
                  <w:rFonts w:ascii="Garamond" w:hAnsi="Garamond"/>
                </w:rPr>
                <w:t>Plato, “Euthyphro.”</w:t>
              </w:r>
            </w:hyperlink>
            <w:r w:rsidR="00887725" w:rsidRPr="00C32A20">
              <w:rPr>
                <w:rFonts w:ascii="Garamond" w:hAnsi="Garamond"/>
              </w:rPr>
              <w:t xml:space="preserve"> </w:t>
            </w:r>
          </w:p>
        </w:tc>
      </w:tr>
      <w:tr w:rsidR="00887725" w:rsidRPr="00C32A20" w14:paraId="25F7B78B" w14:textId="77777777" w:rsidTr="00B4274A">
        <w:tc>
          <w:tcPr>
            <w:tcW w:w="1885" w:type="dxa"/>
          </w:tcPr>
          <w:p w14:paraId="5B373E1C" w14:textId="77777777" w:rsidR="00887725" w:rsidRPr="00C32A20" w:rsidRDefault="00887725" w:rsidP="00B4274A">
            <w:pPr>
              <w:pStyle w:val="Subtitle"/>
              <w:rPr>
                <w:rFonts w:ascii="Garamond" w:hAnsi="Garamond"/>
                <w:bCs/>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14:paraId="7156B201" w14:textId="77777777" w:rsidR="00887725" w:rsidRPr="00C32A20" w:rsidRDefault="00454017" w:rsidP="00B4274A">
            <w:pPr>
              <w:rPr>
                <w:rFonts w:ascii="Garamond" w:hAnsi="Garamond"/>
              </w:rPr>
            </w:pPr>
            <w:hyperlink r:id="rId8" w:history="1">
              <w:r w:rsidR="004D50B7" w:rsidRPr="009E43CF">
                <w:rPr>
                  <w:rStyle w:val="Hyperlink"/>
                  <w:rFonts w:ascii="Garamond" w:hAnsi="Garamond"/>
                </w:rPr>
                <w:t xml:space="preserve">Tim </w:t>
              </w:r>
              <w:proofErr w:type="spellStart"/>
              <w:r w:rsidR="004D50B7" w:rsidRPr="009E43CF">
                <w:rPr>
                  <w:rStyle w:val="Hyperlink"/>
                  <w:rFonts w:ascii="Garamond" w:hAnsi="Garamond"/>
                </w:rPr>
                <w:t>Whitmarsch</w:t>
              </w:r>
              <w:proofErr w:type="spellEnd"/>
              <w:r w:rsidR="004D50B7" w:rsidRPr="009E43CF">
                <w:rPr>
                  <w:rStyle w:val="Hyperlink"/>
                  <w:rFonts w:ascii="Garamond" w:hAnsi="Garamond"/>
                </w:rPr>
                <w:t xml:space="preserve">, “Black Achilles,” </w:t>
              </w:r>
              <w:r w:rsidR="004D50B7" w:rsidRPr="009E43CF">
                <w:rPr>
                  <w:rStyle w:val="Hyperlink"/>
                  <w:rFonts w:ascii="Garamond" w:hAnsi="Garamond"/>
                  <w:i/>
                </w:rPr>
                <w:t>Aeon</w:t>
              </w:r>
              <w:r w:rsidR="004D50B7" w:rsidRPr="009E43CF">
                <w:rPr>
                  <w:rStyle w:val="Hyperlink"/>
                  <w:rFonts w:ascii="Garamond" w:hAnsi="Garamond"/>
                </w:rPr>
                <w:t>, May 9, 2018</w:t>
              </w:r>
            </w:hyperlink>
            <w:r w:rsidR="004D50B7">
              <w:rPr>
                <w:rFonts w:ascii="Garamond" w:hAnsi="Garamond"/>
              </w:rPr>
              <w:t xml:space="preserve">. </w:t>
            </w:r>
          </w:p>
        </w:tc>
      </w:tr>
      <w:tr w:rsidR="004D50B7" w:rsidRPr="00C32A20" w14:paraId="5524DCBA" w14:textId="77777777" w:rsidTr="00B4274A">
        <w:tc>
          <w:tcPr>
            <w:tcW w:w="1885" w:type="dxa"/>
          </w:tcPr>
          <w:p w14:paraId="24A33F09" w14:textId="77777777" w:rsidR="004D50B7" w:rsidRPr="00C32A20" w:rsidRDefault="004D50B7" w:rsidP="00B4274A">
            <w:pPr>
              <w:pStyle w:val="Subtitle"/>
              <w:rPr>
                <w:rFonts w:ascii="Garamond" w:hAnsi="Garamond"/>
                <w:bCs/>
                <w:szCs w:val="24"/>
              </w:rPr>
            </w:pPr>
            <w:r>
              <w:rPr>
                <w:rFonts w:ascii="Garamond" w:hAnsi="Garamond"/>
                <w:bCs/>
                <w:szCs w:val="24"/>
              </w:rPr>
              <w:t>Optional reading:</w:t>
            </w:r>
          </w:p>
        </w:tc>
        <w:tc>
          <w:tcPr>
            <w:tcW w:w="7465" w:type="dxa"/>
          </w:tcPr>
          <w:p w14:paraId="25B613DD" w14:textId="77777777" w:rsidR="004D50B7" w:rsidRPr="00C32A20" w:rsidRDefault="00454017" w:rsidP="00B4274A">
            <w:pPr>
              <w:pStyle w:val="Subtitle"/>
              <w:rPr>
                <w:rFonts w:ascii="Garamond" w:hAnsi="Garamond"/>
                <w:bCs/>
                <w:szCs w:val="24"/>
              </w:rPr>
            </w:pPr>
            <w:hyperlink r:id="rId9" w:history="1">
              <w:r w:rsidR="004D50B7" w:rsidRPr="00C32A20">
                <w:rPr>
                  <w:rStyle w:val="Hyperlink"/>
                  <w:rFonts w:ascii="Garamond" w:hAnsi="Garamond"/>
                </w:rPr>
                <w:t xml:space="preserve">Margaret Talbot, “The Myth of Whiteness in Classical Sculpture,” </w:t>
              </w:r>
              <w:r w:rsidR="004D50B7" w:rsidRPr="00C32A20">
                <w:rPr>
                  <w:rStyle w:val="Hyperlink"/>
                  <w:rFonts w:ascii="Garamond" w:hAnsi="Garamond"/>
                  <w:i/>
                </w:rPr>
                <w:t>The New Yorker</w:t>
              </w:r>
              <w:r w:rsidR="004D50B7" w:rsidRPr="00C32A20">
                <w:rPr>
                  <w:rStyle w:val="Hyperlink"/>
                  <w:rFonts w:ascii="Garamond" w:hAnsi="Garamond"/>
                </w:rPr>
                <w:t>, October 29, 2018</w:t>
              </w:r>
            </w:hyperlink>
          </w:p>
        </w:tc>
      </w:tr>
    </w:tbl>
    <w:p w14:paraId="0234A470" w14:textId="77777777" w:rsidR="00887725" w:rsidRPr="00C32A20" w:rsidRDefault="00887725" w:rsidP="00887725">
      <w:pPr>
        <w:pStyle w:val="Subtitle"/>
        <w:rPr>
          <w:rFonts w:ascii="Garamond" w:hAnsi="Garamond"/>
          <w:b/>
          <w:bCs/>
          <w:szCs w:val="24"/>
        </w:rPr>
      </w:pPr>
    </w:p>
    <w:p w14:paraId="38952080" w14:textId="77777777" w:rsidR="00887725" w:rsidRPr="00C32A20" w:rsidRDefault="00887725" w:rsidP="00887725">
      <w:pPr>
        <w:pStyle w:val="Subtitle"/>
        <w:rPr>
          <w:rFonts w:ascii="Garamond" w:hAnsi="Garamond"/>
          <w:b/>
          <w:bCs/>
          <w:szCs w:val="24"/>
        </w:rPr>
      </w:pPr>
      <w:r>
        <w:rPr>
          <w:rFonts w:ascii="Garamond" w:hAnsi="Garamond"/>
          <w:b/>
          <w:bCs/>
          <w:szCs w:val="24"/>
        </w:rPr>
        <w:t xml:space="preserve"> </w:t>
      </w:r>
    </w:p>
    <w:tbl>
      <w:tblPr>
        <w:tblStyle w:val="TableGrid"/>
        <w:tblW w:w="0" w:type="auto"/>
        <w:tblLook w:val="04A0" w:firstRow="1" w:lastRow="0" w:firstColumn="1" w:lastColumn="0" w:noHBand="0" w:noVBand="1"/>
      </w:tblPr>
      <w:tblGrid>
        <w:gridCol w:w="1885"/>
        <w:gridCol w:w="7465"/>
      </w:tblGrid>
      <w:tr w:rsidR="00887725" w:rsidRPr="00C32A20" w14:paraId="02C420ED" w14:textId="77777777" w:rsidTr="00B4274A">
        <w:tc>
          <w:tcPr>
            <w:tcW w:w="1885" w:type="dxa"/>
          </w:tcPr>
          <w:p w14:paraId="4C0C90BD" w14:textId="47E9D0C4" w:rsidR="00887725" w:rsidRPr="00C32A20" w:rsidRDefault="000036AC" w:rsidP="00B4274A">
            <w:pPr>
              <w:pStyle w:val="Subtitle"/>
              <w:rPr>
                <w:rFonts w:ascii="Garamond" w:hAnsi="Garamond"/>
                <w:b/>
                <w:bCs/>
                <w:szCs w:val="24"/>
              </w:rPr>
            </w:pPr>
            <w:r>
              <w:rPr>
                <w:rFonts w:ascii="Garamond" w:hAnsi="Garamond"/>
                <w:b/>
                <w:bCs/>
                <w:szCs w:val="24"/>
              </w:rPr>
              <w:t>Class</w:t>
            </w:r>
          </w:p>
        </w:tc>
        <w:tc>
          <w:tcPr>
            <w:tcW w:w="7465" w:type="dxa"/>
          </w:tcPr>
          <w:p w14:paraId="19198305" w14:textId="77777777" w:rsidR="00887725" w:rsidRPr="00C32A20" w:rsidRDefault="00887725" w:rsidP="00B4274A">
            <w:pPr>
              <w:pStyle w:val="Subtitle"/>
              <w:rPr>
                <w:rFonts w:ascii="Garamond" w:hAnsi="Garamond"/>
                <w:b/>
                <w:bCs/>
                <w:szCs w:val="24"/>
              </w:rPr>
            </w:pPr>
            <w:r w:rsidRPr="00C32A20">
              <w:rPr>
                <w:rFonts w:ascii="Garamond" w:hAnsi="Garamond"/>
                <w:b/>
                <w:szCs w:val="24"/>
              </w:rPr>
              <w:t>Whence Evil?</w:t>
            </w:r>
          </w:p>
        </w:tc>
      </w:tr>
      <w:tr w:rsidR="00887725" w:rsidRPr="00C32A20" w14:paraId="6FE3BB4D" w14:textId="77777777" w:rsidTr="00B4274A">
        <w:tc>
          <w:tcPr>
            <w:tcW w:w="1885" w:type="dxa"/>
          </w:tcPr>
          <w:p w14:paraId="392FC9DD" w14:textId="77777777" w:rsidR="00887725" w:rsidRPr="00C32A20" w:rsidRDefault="00887725" w:rsidP="00B4274A">
            <w:pPr>
              <w:pStyle w:val="Subtitle"/>
              <w:rPr>
                <w:rFonts w:ascii="Garamond" w:hAnsi="Garamond"/>
                <w:bCs/>
                <w:szCs w:val="24"/>
              </w:rPr>
            </w:pPr>
            <w:r w:rsidRPr="00C32A20">
              <w:rPr>
                <w:rFonts w:ascii="Garamond" w:hAnsi="Garamond"/>
                <w:bCs/>
                <w:szCs w:val="24"/>
              </w:rPr>
              <w:t>Core reading:</w:t>
            </w:r>
          </w:p>
        </w:tc>
        <w:tc>
          <w:tcPr>
            <w:tcW w:w="7465" w:type="dxa"/>
          </w:tcPr>
          <w:p w14:paraId="795FEBBD" w14:textId="77777777" w:rsidR="00887725" w:rsidRPr="00C32A20" w:rsidRDefault="00887725" w:rsidP="00B4274A">
            <w:pPr>
              <w:pStyle w:val="Subtitle"/>
              <w:rPr>
                <w:rFonts w:ascii="Garamond" w:hAnsi="Garamond"/>
                <w:bCs/>
                <w:szCs w:val="24"/>
              </w:rPr>
            </w:pPr>
            <w:r>
              <w:rPr>
                <w:rFonts w:ascii="Garamond" w:hAnsi="Garamond"/>
                <w:szCs w:val="24"/>
              </w:rPr>
              <w:t xml:space="preserve">Augustine, </w:t>
            </w:r>
            <w:r w:rsidRPr="00C32A20">
              <w:rPr>
                <w:rFonts w:ascii="Garamond" w:hAnsi="Garamond"/>
                <w:szCs w:val="24"/>
              </w:rPr>
              <w:t xml:space="preserve">Book I of </w:t>
            </w:r>
            <w:r w:rsidRPr="00C32A20">
              <w:rPr>
                <w:rFonts w:ascii="Garamond" w:hAnsi="Garamond"/>
                <w:i/>
                <w:szCs w:val="24"/>
              </w:rPr>
              <w:t>On Free Choice of the Will</w:t>
            </w:r>
            <w:r>
              <w:rPr>
                <w:rFonts w:ascii="Garamond" w:hAnsi="Garamond"/>
                <w:i/>
                <w:szCs w:val="24"/>
              </w:rPr>
              <w:t xml:space="preserve"> </w:t>
            </w:r>
            <w:r w:rsidRPr="00C32A20">
              <w:rPr>
                <w:rFonts w:ascii="Garamond" w:hAnsi="Garamond"/>
                <w:szCs w:val="24"/>
              </w:rPr>
              <w:t>(pages 1-28 in the Williams translation)</w:t>
            </w:r>
          </w:p>
        </w:tc>
      </w:tr>
      <w:tr w:rsidR="00887725" w:rsidRPr="00C32A20" w14:paraId="6B942039" w14:textId="77777777" w:rsidTr="00B4274A">
        <w:tc>
          <w:tcPr>
            <w:tcW w:w="1885" w:type="dxa"/>
          </w:tcPr>
          <w:p w14:paraId="0E956CBD" w14:textId="77777777" w:rsidR="00887725" w:rsidRPr="00C32A20" w:rsidRDefault="00887725" w:rsidP="00B4274A">
            <w:pPr>
              <w:pStyle w:val="Subtitle"/>
              <w:rPr>
                <w:rFonts w:ascii="Garamond" w:hAnsi="Garamond"/>
                <w:bCs/>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14:paraId="15795A91" w14:textId="77777777" w:rsidR="00887725" w:rsidRPr="00C32A20" w:rsidRDefault="00454017" w:rsidP="00B4274A">
            <w:pPr>
              <w:pStyle w:val="Subtitle"/>
              <w:rPr>
                <w:rFonts w:ascii="Garamond" w:hAnsi="Garamond"/>
                <w:bCs/>
                <w:szCs w:val="24"/>
              </w:rPr>
            </w:pPr>
            <w:hyperlink r:id="rId10" w:history="1">
              <w:r w:rsidR="00887725" w:rsidRPr="00C32A20">
                <w:rPr>
                  <w:rStyle w:val="Hyperlink"/>
                  <w:rFonts w:ascii="Garamond" w:hAnsi="Garamond"/>
                  <w:szCs w:val="24"/>
                </w:rPr>
                <w:t xml:space="preserve">Pamala Milne, “Genesis from Eve’s Point of View,” </w:t>
              </w:r>
              <w:r w:rsidR="00887725" w:rsidRPr="00C32A20">
                <w:rPr>
                  <w:rStyle w:val="Hyperlink"/>
                  <w:rFonts w:ascii="Garamond" w:hAnsi="Garamond"/>
                  <w:i/>
                  <w:szCs w:val="24"/>
                </w:rPr>
                <w:t>The Washington Post</w:t>
              </w:r>
              <w:r w:rsidR="00887725" w:rsidRPr="00C32A20">
                <w:rPr>
                  <w:rStyle w:val="Hyperlink"/>
                  <w:rFonts w:ascii="Garamond" w:hAnsi="Garamond"/>
                  <w:szCs w:val="24"/>
                </w:rPr>
                <w:t>, March 26, 1989</w:t>
              </w:r>
            </w:hyperlink>
          </w:p>
        </w:tc>
      </w:tr>
    </w:tbl>
    <w:p w14:paraId="2CA529B6" w14:textId="77777777" w:rsidR="00887725" w:rsidRPr="00C32A20" w:rsidRDefault="00887725" w:rsidP="00887725">
      <w:pPr>
        <w:pStyle w:val="Subtitle"/>
        <w:rPr>
          <w:rFonts w:ascii="Garamond" w:hAnsi="Garamond"/>
          <w:b/>
          <w:bCs/>
          <w:szCs w:val="24"/>
        </w:rPr>
      </w:pPr>
    </w:p>
    <w:p w14:paraId="573E0076" w14:textId="77777777" w:rsidR="00887725" w:rsidRPr="00C32A20" w:rsidRDefault="00887725" w:rsidP="00887725">
      <w:pPr>
        <w:rPr>
          <w:rFonts w:ascii="Garamond" w:hAnsi="Garamond"/>
          <w:b/>
          <w:bCs/>
        </w:rPr>
      </w:pPr>
    </w:p>
    <w:tbl>
      <w:tblPr>
        <w:tblStyle w:val="TableGrid"/>
        <w:tblW w:w="0" w:type="auto"/>
        <w:tblLook w:val="04A0" w:firstRow="1" w:lastRow="0" w:firstColumn="1" w:lastColumn="0" w:noHBand="0" w:noVBand="1"/>
      </w:tblPr>
      <w:tblGrid>
        <w:gridCol w:w="1885"/>
        <w:gridCol w:w="7465"/>
      </w:tblGrid>
      <w:tr w:rsidR="00887725" w:rsidRPr="00C32A20" w14:paraId="4A4EF038" w14:textId="77777777" w:rsidTr="00B4274A">
        <w:tc>
          <w:tcPr>
            <w:tcW w:w="1885" w:type="dxa"/>
          </w:tcPr>
          <w:p w14:paraId="00A48471" w14:textId="188016C1" w:rsidR="00887725" w:rsidRPr="00C32A20" w:rsidRDefault="000036AC" w:rsidP="00B4274A">
            <w:pPr>
              <w:pStyle w:val="Subtitle"/>
              <w:rPr>
                <w:rFonts w:ascii="Garamond" w:hAnsi="Garamond"/>
                <w:b/>
                <w:bCs/>
                <w:szCs w:val="24"/>
              </w:rPr>
            </w:pPr>
            <w:r>
              <w:rPr>
                <w:rFonts w:ascii="Garamond" w:hAnsi="Garamond"/>
                <w:b/>
                <w:bCs/>
                <w:szCs w:val="24"/>
              </w:rPr>
              <w:t>Class</w:t>
            </w:r>
          </w:p>
        </w:tc>
        <w:tc>
          <w:tcPr>
            <w:tcW w:w="7465" w:type="dxa"/>
          </w:tcPr>
          <w:p w14:paraId="427980CC" w14:textId="77777777" w:rsidR="00887725" w:rsidRPr="00C32A20" w:rsidRDefault="00887725" w:rsidP="00B4274A">
            <w:pPr>
              <w:pStyle w:val="Subtitle"/>
              <w:rPr>
                <w:rFonts w:ascii="Garamond" w:hAnsi="Garamond"/>
                <w:b/>
                <w:bCs/>
                <w:szCs w:val="24"/>
              </w:rPr>
            </w:pPr>
            <w:r w:rsidRPr="00C32A20">
              <w:rPr>
                <w:rFonts w:ascii="Garamond" w:hAnsi="Garamond"/>
                <w:b/>
                <w:szCs w:val="24"/>
              </w:rPr>
              <w:t xml:space="preserve">Why Free Will? </w:t>
            </w:r>
          </w:p>
        </w:tc>
      </w:tr>
      <w:tr w:rsidR="00887725" w:rsidRPr="00C32A20" w14:paraId="7369D42C" w14:textId="77777777" w:rsidTr="00B4274A">
        <w:tc>
          <w:tcPr>
            <w:tcW w:w="1885" w:type="dxa"/>
          </w:tcPr>
          <w:p w14:paraId="51627F0A" w14:textId="77777777" w:rsidR="00887725" w:rsidRPr="00C32A20" w:rsidRDefault="00887725" w:rsidP="00B4274A">
            <w:pPr>
              <w:pStyle w:val="Subtitle"/>
              <w:rPr>
                <w:rFonts w:ascii="Garamond" w:hAnsi="Garamond"/>
                <w:b/>
                <w:bCs/>
                <w:szCs w:val="24"/>
              </w:rPr>
            </w:pPr>
            <w:r w:rsidRPr="00C32A20">
              <w:rPr>
                <w:rFonts w:ascii="Garamond" w:hAnsi="Garamond"/>
                <w:bCs/>
                <w:szCs w:val="24"/>
              </w:rPr>
              <w:t xml:space="preserve">Core </w:t>
            </w:r>
            <w:r w:rsidRPr="00C32A20">
              <w:rPr>
                <w:rFonts w:ascii="Garamond" w:hAnsi="Garamond"/>
                <w:szCs w:val="24"/>
              </w:rPr>
              <w:t>reading:</w:t>
            </w:r>
          </w:p>
        </w:tc>
        <w:tc>
          <w:tcPr>
            <w:tcW w:w="7465" w:type="dxa"/>
          </w:tcPr>
          <w:p w14:paraId="4AB095A6" w14:textId="77777777" w:rsidR="00887725" w:rsidRPr="00C32A20" w:rsidRDefault="00887725" w:rsidP="00B4274A">
            <w:pPr>
              <w:pStyle w:val="Subtitle"/>
              <w:rPr>
                <w:rFonts w:ascii="Garamond" w:hAnsi="Garamond"/>
                <w:b/>
                <w:bCs/>
                <w:szCs w:val="24"/>
              </w:rPr>
            </w:pPr>
            <w:r>
              <w:rPr>
                <w:rFonts w:ascii="Garamond" w:hAnsi="Garamond"/>
                <w:szCs w:val="24"/>
              </w:rPr>
              <w:t xml:space="preserve">Augustine, </w:t>
            </w:r>
            <w:r w:rsidRPr="00C32A20">
              <w:rPr>
                <w:rFonts w:ascii="Garamond" w:hAnsi="Garamond"/>
                <w:szCs w:val="24"/>
              </w:rPr>
              <w:t xml:space="preserve">Book II of </w:t>
            </w:r>
            <w:r w:rsidRPr="00C32A20">
              <w:rPr>
                <w:rFonts w:ascii="Garamond" w:hAnsi="Garamond"/>
                <w:i/>
                <w:szCs w:val="24"/>
              </w:rPr>
              <w:t>On Free Choice of the Will</w:t>
            </w:r>
            <w:r w:rsidRPr="00C32A20">
              <w:rPr>
                <w:rFonts w:ascii="Garamond" w:hAnsi="Garamond"/>
                <w:szCs w:val="24"/>
              </w:rPr>
              <w:t xml:space="preserve"> (pages 29-69 in the Williams translation)</w:t>
            </w:r>
          </w:p>
        </w:tc>
      </w:tr>
      <w:tr w:rsidR="00887725" w:rsidRPr="00C32A20" w14:paraId="733C2855" w14:textId="77777777" w:rsidTr="00B4274A">
        <w:tc>
          <w:tcPr>
            <w:tcW w:w="1885" w:type="dxa"/>
          </w:tcPr>
          <w:p w14:paraId="3DFD9824" w14:textId="77777777" w:rsidR="00887725" w:rsidRPr="00C32A20" w:rsidRDefault="00887725" w:rsidP="00B4274A">
            <w:pPr>
              <w:pStyle w:val="Subtitle"/>
              <w:rPr>
                <w:rFonts w:ascii="Garamond" w:hAnsi="Garamond"/>
                <w:bCs/>
                <w:color w:val="000000" w:themeColor="text1"/>
                <w:szCs w:val="24"/>
              </w:rPr>
            </w:pPr>
            <w:r w:rsidRPr="00C32A20">
              <w:rPr>
                <w:rFonts w:ascii="Garamond" w:hAnsi="Garamond"/>
                <w:bCs/>
                <w:szCs w:val="24"/>
              </w:rPr>
              <w:t>Supp</w:t>
            </w:r>
            <w:r>
              <w:rPr>
                <w:rFonts w:ascii="Garamond" w:hAnsi="Garamond"/>
                <w:bCs/>
                <w:szCs w:val="24"/>
              </w:rPr>
              <w:t>.</w:t>
            </w:r>
            <w:r w:rsidRPr="00C32A20">
              <w:rPr>
                <w:rFonts w:ascii="Garamond" w:hAnsi="Garamond"/>
                <w:bCs/>
                <w:szCs w:val="24"/>
              </w:rPr>
              <w:t xml:space="preserve"> reading:</w:t>
            </w:r>
          </w:p>
        </w:tc>
        <w:tc>
          <w:tcPr>
            <w:tcW w:w="7465" w:type="dxa"/>
          </w:tcPr>
          <w:p w14:paraId="44C2762B" w14:textId="77777777" w:rsidR="00887725" w:rsidRPr="00C32A20" w:rsidRDefault="00454017" w:rsidP="00B4274A">
            <w:pPr>
              <w:pStyle w:val="Subtitle"/>
              <w:rPr>
                <w:rFonts w:ascii="Garamond" w:hAnsi="Garamond"/>
                <w:bCs/>
                <w:color w:val="000000" w:themeColor="text1"/>
                <w:szCs w:val="24"/>
              </w:rPr>
            </w:pPr>
            <w:hyperlink r:id="rId11" w:history="1">
              <w:r w:rsidR="00887725" w:rsidRPr="00C32A20">
                <w:rPr>
                  <w:rStyle w:val="Hyperlink"/>
                  <w:rFonts w:ascii="Garamond" w:hAnsi="Garamond"/>
                  <w:szCs w:val="24"/>
                </w:rPr>
                <w:t xml:space="preserve">Allison </w:t>
              </w:r>
              <w:proofErr w:type="spellStart"/>
              <w:r w:rsidR="00887725" w:rsidRPr="00C32A20">
                <w:rPr>
                  <w:rStyle w:val="Hyperlink"/>
                  <w:rFonts w:ascii="Garamond" w:hAnsi="Garamond"/>
                  <w:szCs w:val="24"/>
                </w:rPr>
                <w:t>Arieff</w:t>
              </w:r>
              <w:proofErr w:type="spellEnd"/>
              <w:r w:rsidR="00887725" w:rsidRPr="00C32A20">
                <w:rPr>
                  <w:rStyle w:val="Hyperlink"/>
                  <w:rFonts w:ascii="Garamond" w:hAnsi="Garamond"/>
                  <w:szCs w:val="24"/>
                </w:rPr>
                <w:t xml:space="preserve">, “Life is Short. That’s the Point,” </w:t>
              </w:r>
              <w:r w:rsidR="00887725" w:rsidRPr="00C32A20">
                <w:rPr>
                  <w:rStyle w:val="Hyperlink"/>
                  <w:rFonts w:ascii="Garamond" w:hAnsi="Garamond"/>
                  <w:i/>
                  <w:szCs w:val="24"/>
                </w:rPr>
                <w:t>The New York Times</w:t>
              </w:r>
              <w:r w:rsidR="00887725" w:rsidRPr="00C32A20">
                <w:rPr>
                  <w:rStyle w:val="Hyperlink"/>
                  <w:rFonts w:ascii="Garamond" w:hAnsi="Garamond"/>
                  <w:szCs w:val="24"/>
                </w:rPr>
                <w:t>, August 18, 2018</w:t>
              </w:r>
            </w:hyperlink>
            <w:r w:rsidR="00887725" w:rsidRPr="00C32A20">
              <w:rPr>
                <w:rFonts w:ascii="Garamond" w:hAnsi="Garamond"/>
                <w:bCs/>
                <w:color w:val="000000" w:themeColor="text1"/>
                <w:szCs w:val="24"/>
              </w:rPr>
              <w:t xml:space="preserve">. </w:t>
            </w:r>
          </w:p>
        </w:tc>
      </w:tr>
    </w:tbl>
    <w:p w14:paraId="65E4477A" w14:textId="77777777" w:rsidR="00887725" w:rsidRPr="00C32A20" w:rsidRDefault="00887725" w:rsidP="00887725">
      <w:pPr>
        <w:pStyle w:val="Subtitle"/>
        <w:rPr>
          <w:rFonts w:ascii="Garamond" w:hAnsi="Garamond"/>
          <w:b/>
          <w:bCs/>
          <w:szCs w:val="24"/>
        </w:rPr>
      </w:pPr>
    </w:p>
    <w:p w14:paraId="0197043E" w14:textId="77777777" w:rsidR="00887725" w:rsidRPr="00C32A20" w:rsidRDefault="00887725" w:rsidP="00887725">
      <w:pPr>
        <w:pStyle w:val="Subtitle"/>
        <w:rPr>
          <w:rFonts w:ascii="Garamond" w:hAnsi="Garamond"/>
          <w:b/>
          <w:bCs/>
          <w:szCs w:val="24"/>
        </w:rPr>
      </w:pPr>
    </w:p>
    <w:tbl>
      <w:tblPr>
        <w:tblStyle w:val="TableGrid"/>
        <w:tblW w:w="0" w:type="auto"/>
        <w:tblLook w:val="04A0" w:firstRow="1" w:lastRow="0" w:firstColumn="1" w:lastColumn="0" w:noHBand="0" w:noVBand="1"/>
      </w:tblPr>
      <w:tblGrid>
        <w:gridCol w:w="1885"/>
        <w:gridCol w:w="7465"/>
      </w:tblGrid>
      <w:tr w:rsidR="00887725" w:rsidRPr="00C32A20" w14:paraId="24036F5B" w14:textId="77777777" w:rsidTr="00B4274A">
        <w:tc>
          <w:tcPr>
            <w:tcW w:w="1885" w:type="dxa"/>
          </w:tcPr>
          <w:p w14:paraId="198A67BD" w14:textId="5EE7AD4D" w:rsidR="00887725" w:rsidRPr="00C32A20" w:rsidRDefault="000036AC" w:rsidP="00B4274A">
            <w:pPr>
              <w:rPr>
                <w:rFonts w:ascii="Garamond" w:hAnsi="Garamond"/>
                <w:b/>
              </w:rPr>
            </w:pPr>
            <w:r>
              <w:rPr>
                <w:rFonts w:ascii="Garamond" w:hAnsi="Garamond"/>
                <w:b/>
                <w:bCs/>
                <w:szCs w:val="24"/>
              </w:rPr>
              <w:t>Class</w:t>
            </w:r>
          </w:p>
        </w:tc>
        <w:tc>
          <w:tcPr>
            <w:tcW w:w="7465" w:type="dxa"/>
          </w:tcPr>
          <w:p w14:paraId="6DBA6D63" w14:textId="77777777" w:rsidR="00887725" w:rsidRPr="00C32A20" w:rsidRDefault="00887725" w:rsidP="00B4274A">
            <w:pPr>
              <w:rPr>
                <w:rFonts w:ascii="Garamond" w:hAnsi="Garamond"/>
                <w:b/>
              </w:rPr>
            </w:pPr>
            <w:r w:rsidRPr="00C32A20">
              <w:rPr>
                <w:rFonts w:ascii="Garamond" w:hAnsi="Garamond"/>
                <w:b/>
              </w:rPr>
              <w:t>Why Do We Sin?</w:t>
            </w:r>
          </w:p>
        </w:tc>
      </w:tr>
      <w:tr w:rsidR="00887725" w:rsidRPr="00C32A20" w14:paraId="5CEAFCE4" w14:textId="77777777" w:rsidTr="00B4274A">
        <w:tc>
          <w:tcPr>
            <w:tcW w:w="1885" w:type="dxa"/>
          </w:tcPr>
          <w:p w14:paraId="32D3C602"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 xml:space="preserve">reading:  </w:t>
            </w:r>
          </w:p>
        </w:tc>
        <w:tc>
          <w:tcPr>
            <w:tcW w:w="7465" w:type="dxa"/>
          </w:tcPr>
          <w:p w14:paraId="01600D4D" w14:textId="77777777" w:rsidR="00887725" w:rsidRPr="00C32A20" w:rsidRDefault="00887725" w:rsidP="00B4274A">
            <w:pPr>
              <w:rPr>
                <w:rFonts w:ascii="Garamond" w:hAnsi="Garamond"/>
                <w:b/>
              </w:rPr>
            </w:pPr>
            <w:r>
              <w:rPr>
                <w:rFonts w:ascii="Garamond" w:hAnsi="Garamond"/>
              </w:rPr>
              <w:t xml:space="preserve">Augustine, </w:t>
            </w:r>
            <w:r w:rsidRPr="00C32A20">
              <w:rPr>
                <w:rFonts w:ascii="Garamond" w:hAnsi="Garamond"/>
              </w:rPr>
              <w:t xml:space="preserve">Book III, Chapters 1-9 of </w:t>
            </w:r>
            <w:r w:rsidRPr="00C32A20">
              <w:rPr>
                <w:rFonts w:ascii="Garamond" w:hAnsi="Garamond"/>
                <w:i/>
              </w:rPr>
              <w:t>On Free Choice of the Will</w:t>
            </w:r>
            <w:r>
              <w:rPr>
                <w:rFonts w:ascii="Garamond" w:hAnsi="Garamond"/>
                <w:i/>
              </w:rPr>
              <w:t xml:space="preserve"> </w:t>
            </w:r>
            <w:r w:rsidRPr="00C32A20">
              <w:rPr>
                <w:rFonts w:ascii="Garamond" w:hAnsi="Garamond"/>
              </w:rPr>
              <w:t>(pages 69-91 in the Williams translation)</w:t>
            </w:r>
          </w:p>
        </w:tc>
      </w:tr>
      <w:tr w:rsidR="00887725" w:rsidRPr="00C32A20" w14:paraId="5971A17F" w14:textId="77777777" w:rsidTr="00B4274A">
        <w:tc>
          <w:tcPr>
            <w:tcW w:w="1885" w:type="dxa"/>
          </w:tcPr>
          <w:p w14:paraId="3DF4A054" w14:textId="77777777" w:rsidR="00887725" w:rsidRPr="00C32A20" w:rsidRDefault="00887725" w:rsidP="00B4274A">
            <w:pPr>
              <w:rPr>
                <w:rFonts w:ascii="Garamond" w:hAnsi="Garamond"/>
              </w:rPr>
            </w:pPr>
            <w:r w:rsidRPr="00C32A20">
              <w:rPr>
                <w:rFonts w:ascii="Garamond" w:hAnsi="Garamond"/>
                <w:bCs/>
              </w:rPr>
              <w:t xml:space="preserve">Optional </w:t>
            </w:r>
            <w:r w:rsidRPr="00C32A20">
              <w:rPr>
                <w:rFonts w:ascii="Garamond" w:hAnsi="Garamond"/>
              </w:rPr>
              <w:t>reading:</w:t>
            </w:r>
          </w:p>
        </w:tc>
        <w:tc>
          <w:tcPr>
            <w:tcW w:w="7465" w:type="dxa"/>
          </w:tcPr>
          <w:p w14:paraId="6CB7923A" w14:textId="77777777" w:rsidR="00887725" w:rsidRPr="00C32A20" w:rsidRDefault="00887725" w:rsidP="00B4274A">
            <w:pPr>
              <w:rPr>
                <w:rFonts w:ascii="Garamond" w:hAnsi="Garamond"/>
                <w:b/>
              </w:rPr>
            </w:pPr>
            <w:r w:rsidRPr="00C32A20">
              <w:rPr>
                <w:rFonts w:ascii="Garamond" w:hAnsi="Garamond"/>
              </w:rPr>
              <w:t>Book III, Chapters 10-25 (pages 91-124 in the Williams translation)</w:t>
            </w:r>
          </w:p>
        </w:tc>
      </w:tr>
      <w:tr w:rsidR="00887725" w:rsidRPr="00C32A20" w14:paraId="12213842" w14:textId="77777777" w:rsidTr="00B4274A">
        <w:tc>
          <w:tcPr>
            <w:tcW w:w="1885" w:type="dxa"/>
          </w:tcPr>
          <w:p w14:paraId="774D6AA9" w14:textId="77777777" w:rsidR="00887725" w:rsidRPr="00C32A20" w:rsidRDefault="00887725" w:rsidP="00B4274A">
            <w:pPr>
              <w:rPr>
                <w:rFonts w:ascii="Garamond" w:hAnsi="Garamond"/>
                <w:bCs/>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7001DA51" w14:textId="77777777" w:rsidR="00887725" w:rsidRPr="00C32A20" w:rsidRDefault="00454017" w:rsidP="00B4274A">
            <w:pPr>
              <w:rPr>
                <w:rFonts w:ascii="Garamond" w:hAnsi="Garamond"/>
              </w:rPr>
            </w:pPr>
            <w:hyperlink r:id="rId12" w:history="1">
              <w:r w:rsidR="00887725" w:rsidRPr="00C32A20">
                <w:rPr>
                  <w:rStyle w:val="Hyperlink"/>
                  <w:rFonts w:ascii="Garamond" w:hAnsi="Garamond"/>
                </w:rPr>
                <w:t xml:space="preserve">Jim Holt, “Thinking Inside the Boxes,” </w:t>
              </w:r>
              <w:r w:rsidR="00887725" w:rsidRPr="00C32A20">
                <w:rPr>
                  <w:rStyle w:val="Hyperlink"/>
                  <w:rFonts w:ascii="Garamond" w:hAnsi="Garamond"/>
                  <w:i/>
                </w:rPr>
                <w:t>Slate</w:t>
              </w:r>
              <w:r w:rsidR="00887725" w:rsidRPr="00C32A20">
                <w:rPr>
                  <w:rStyle w:val="Hyperlink"/>
                  <w:rFonts w:ascii="Garamond" w:hAnsi="Garamond"/>
                </w:rPr>
                <w:t xml:space="preserve"> February 1, 2002</w:t>
              </w:r>
            </w:hyperlink>
            <w:r w:rsidR="00887725" w:rsidRPr="00C32A20">
              <w:rPr>
                <w:rFonts w:ascii="Garamond" w:hAnsi="Garamond"/>
              </w:rPr>
              <w:t xml:space="preserve">. </w:t>
            </w:r>
          </w:p>
        </w:tc>
      </w:tr>
    </w:tbl>
    <w:p w14:paraId="1F7805EF" w14:textId="77777777" w:rsidR="00887725" w:rsidRPr="00C32A20" w:rsidRDefault="00887725" w:rsidP="00887725">
      <w:pPr>
        <w:rPr>
          <w:rFonts w:ascii="Garamond" w:hAnsi="Garamond"/>
          <w:b/>
        </w:rPr>
      </w:pPr>
    </w:p>
    <w:p w14:paraId="5A886003"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59"/>
      </w:tblGrid>
      <w:tr w:rsidR="00887725" w:rsidRPr="00C32A20" w14:paraId="5F92DB19" w14:textId="77777777" w:rsidTr="00B4274A">
        <w:tc>
          <w:tcPr>
            <w:tcW w:w="1885" w:type="dxa"/>
          </w:tcPr>
          <w:p w14:paraId="3CD84A27" w14:textId="3456BDDB" w:rsidR="00887725" w:rsidRPr="00C32A20" w:rsidRDefault="000036AC" w:rsidP="00B4274A">
            <w:pPr>
              <w:rPr>
                <w:rFonts w:ascii="Garamond" w:hAnsi="Garamond"/>
                <w:b/>
              </w:rPr>
            </w:pPr>
            <w:r>
              <w:rPr>
                <w:rFonts w:ascii="Garamond" w:hAnsi="Garamond"/>
                <w:b/>
                <w:bCs/>
                <w:szCs w:val="24"/>
              </w:rPr>
              <w:t>Class</w:t>
            </w:r>
          </w:p>
        </w:tc>
        <w:tc>
          <w:tcPr>
            <w:tcW w:w="7459" w:type="dxa"/>
          </w:tcPr>
          <w:p w14:paraId="50A185B2" w14:textId="77777777" w:rsidR="00887725" w:rsidRPr="00C32A20" w:rsidRDefault="00887725" w:rsidP="00B4274A">
            <w:pPr>
              <w:rPr>
                <w:rFonts w:ascii="Garamond" w:hAnsi="Garamond"/>
                <w:b/>
              </w:rPr>
            </w:pPr>
            <w:r w:rsidRPr="00C32A20">
              <w:rPr>
                <w:rFonts w:ascii="Garamond" w:hAnsi="Garamond"/>
                <w:b/>
              </w:rPr>
              <w:t>What is Free Will Anyway?</w:t>
            </w:r>
          </w:p>
        </w:tc>
      </w:tr>
      <w:tr w:rsidR="00887725" w:rsidRPr="00C32A20" w14:paraId="360A42DA" w14:textId="77777777" w:rsidTr="00B4274A">
        <w:tc>
          <w:tcPr>
            <w:tcW w:w="1885" w:type="dxa"/>
          </w:tcPr>
          <w:p w14:paraId="1FEC3B54"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59" w:type="dxa"/>
          </w:tcPr>
          <w:p w14:paraId="44ACD8E9" w14:textId="77777777" w:rsidR="00887725" w:rsidRPr="00C32A20" w:rsidRDefault="00454017" w:rsidP="00B4274A">
            <w:pPr>
              <w:rPr>
                <w:rFonts w:ascii="Garamond" w:hAnsi="Garamond"/>
                <w:b/>
              </w:rPr>
            </w:pPr>
            <w:hyperlink r:id="rId13" w:history="1">
              <w:r w:rsidR="00887725" w:rsidRPr="009B0255">
                <w:rPr>
                  <w:rStyle w:val="Hyperlink"/>
                  <w:rFonts w:ascii="Garamond" w:hAnsi="Garamond"/>
                </w:rPr>
                <w:t>Anselm, “On Freedom of Choice”</w:t>
              </w:r>
            </w:hyperlink>
            <w:r w:rsidR="00887725" w:rsidRPr="00C32A20">
              <w:rPr>
                <w:rFonts w:ascii="Garamond" w:hAnsi="Garamond"/>
              </w:rPr>
              <w:t xml:space="preserve"> (</w:t>
            </w:r>
            <w:r w:rsidR="009B0255">
              <w:rPr>
                <w:rFonts w:ascii="Garamond" w:hAnsi="Garamond"/>
              </w:rPr>
              <w:t>Jasper Hopkins translation)</w:t>
            </w:r>
          </w:p>
        </w:tc>
      </w:tr>
      <w:tr w:rsidR="00887725" w:rsidRPr="00C32A20" w14:paraId="262BEB42" w14:textId="77777777" w:rsidTr="00B4274A">
        <w:tc>
          <w:tcPr>
            <w:tcW w:w="1885" w:type="dxa"/>
          </w:tcPr>
          <w:p w14:paraId="42B387BA" w14:textId="77777777" w:rsidR="00887725" w:rsidRPr="00C32A20" w:rsidRDefault="00887725" w:rsidP="00B4274A">
            <w:pPr>
              <w:rPr>
                <w:rFonts w:ascii="Garamond" w:hAnsi="Garamond"/>
                <w:b/>
              </w:rPr>
            </w:pPr>
            <w:r w:rsidRPr="00C32A20">
              <w:rPr>
                <w:rFonts w:ascii="Garamond" w:hAnsi="Garamond"/>
                <w:bCs/>
              </w:rPr>
              <w:t>Supp</w:t>
            </w:r>
            <w:r>
              <w:rPr>
                <w:rFonts w:ascii="Garamond" w:hAnsi="Garamond"/>
                <w:bCs/>
              </w:rPr>
              <w:t>.</w:t>
            </w:r>
            <w:r w:rsidRPr="00C32A20">
              <w:rPr>
                <w:rFonts w:ascii="Garamond" w:hAnsi="Garamond"/>
                <w:bCs/>
              </w:rPr>
              <w:t xml:space="preserve"> reading:</w:t>
            </w:r>
            <w:r w:rsidRPr="00C32A20">
              <w:rPr>
                <w:rFonts w:ascii="Garamond" w:hAnsi="Garamond"/>
              </w:rPr>
              <w:t xml:space="preserve">  </w:t>
            </w:r>
          </w:p>
        </w:tc>
        <w:tc>
          <w:tcPr>
            <w:tcW w:w="7459" w:type="dxa"/>
          </w:tcPr>
          <w:p w14:paraId="7C6ABEF0" w14:textId="77777777" w:rsidR="00887725" w:rsidRPr="00C32A20" w:rsidRDefault="00454017" w:rsidP="00B4274A">
            <w:pPr>
              <w:rPr>
                <w:rFonts w:ascii="Garamond" w:hAnsi="Garamond"/>
              </w:rPr>
            </w:pPr>
            <w:hyperlink r:id="rId14" w:history="1">
              <w:r w:rsidR="00887725" w:rsidRPr="00C32A20">
                <w:rPr>
                  <w:rStyle w:val="Hyperlink"/>
                  <w:rFonts w:ascii="Garamond" w:hAnsi="Garamond"/>
                </w:rPr>
                <w:t xml:space="preserve">C. S. Lewis, “Petitionary Prayer: A Problem without an Answer,” </w:t>
              </w:r>
              <w:r w:rsidR="00887725" w:rsidRPr="00C32A20">
                <w:rPr>
                  <w:rStyle w:val="Hyperlink"/>
                  <w:rFonts w:ascii="Garamond" w:hAnsi="Garamond"/>
                  <w:i/>
                </w:rPr>
                <w:t>Christian Reflections</w:t>
              </w:r>
            </w:hyperlink>
            <w:r w:rsidR="00887725" w:rsidRPr="00C32A20">
              <w:rPr>
                <w:rFonts w:ascii="Garamond" w:hAnsi="Garamond"/>
              </w:rPr>
              <w:t xml:space="preserve"> (Grand Rapids, MI: Eerdmans Publishing 1967</w:t>
            </w:r>
            <w:r w:rsidR="00887725">
              <w:rPr>
                <w:rFonts w:ascii="Garamond" w:hAnsi="Garamond"/>
              </w:rPr>
              <w:t>, pages</w:t>
            </w:r>
            <w:r w:rsidR="00887725" w:rsidRPr="00C32A20">
              <w:rPr>
                <w:rFonts w:ascii="Garamond" w:hAnsi="Garamond"/>
              </w:rPr>
              <w:t xml:space="preserve"> 142-151</w:t>
            </w:r>
            <w:r w:rsidR="00887725">
              <w:rPr>
                <w:rFonts w:ascii="Garamond" w:hAnsi="Garamond"/>
              </w:rPr>
              <w:t>)</w:t>
            </w:r>
            <w:r w:rsidR="00887725" w:rsidRPr="00C32A20">
              <w:rPr>
                <w:rFonts w:ascii="Garamond" w:hAnsi="Garamond"/>
              </w:rPr>
              <w:t>.</w:t>
            </w:r>
          </w:p>
        </w:tc>
      </w:tr>
    </w:tbl>
    <w:p w14:paraId="36189298" w14:textId="77777777" w:rsidR="00887725" w:rsidRPr="00C32A20" w:rsidRDefault="00887725" w:rsidP="00887725">
      <w:pPr>
        <w:rPr>
          <w:rFonts w:ascii="Garamond" w:hAnsi="Garamond"/>
          <w:b/>
        </w:rPr>
      </w:pPr>
    </w:p>
    <w:p w14:paraId="67BCA49D"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583A5974" w14:textId="77777777" w:rsidTr="00B4274A">
        <w:tc>
          <w:tcPr>
            <w:tcW w:w="1885" w:type="dxa"/>
          </w:tcPr>
          <w:p w14:paraId="4B03FB3E" w14:textId="64123D3F" w:rsidR="00887725" w:rsidRPr="00C32A20" w:rsidRDefault="000036AC" w:rsidP="00B4274A">
            <w:pPr>
              <w:rPr>
                <w:rFonts w:ascii="Garamond" w:hAnsi="Garamond"/>
                <w:b/>
              </w:rPr>
            </w:pPr>
            <w:r>
              <w:rPr>
                <w:rFonts w:ascii="Garamond" w:hAnsi="Garamond"/>
                <w:b/>
                <w:bCs/>
                <w:szCs w:val="24"/>
              </w:rPr>
              <w:t>Class</w:t>
            </w:r>
          </w:p>
        </w:tc>
        <w:tc>
          <w:tcPr>
            <w:tcW w:w="7465" w:type="dxa"/>
          </w:tcPr>
          <w:p w14:paraId="72CA5C0D" w14:textId="77777777" w:rsidR="00887725" w:rsidRPr="00C32A20" w:rsidRDefault="00880BB0" w:rsidP="00B4274A">
            <w:pPr>
              <w:rPr>
                <w:rFonts w:ascii="Garamond" w:hAnsi="Garamond"/>
                <w:b/>
              </w:rPr>
            </w:pPr>
            <w:r>
              <w:rPr>
                <w:rFonts w:ascii="Garamond" w:hAnsi="Garamond"/>
                <w:b/>
              </w:rPr>
              <w:t>Are We</w:t>
            </w:r>
            <w:r w:rsidR="00887725" w:rsidRPr="00C32A20">
              <w:rPr>
                <w:rFonts w:ascii="Garamond" w:hAnsi="Garamond"/>
                <w:b/>
              </w:rPr>
              <w:t xml:space="preserve"> Immortal? </w:t>
            </w:r>
          </w:p>
        </w:tc>
      </w:tr>
      <w:tr w:rsidR="00887725" w:rsidRPr="00C32A20" w14:paraId="6E9B3335" w14:textId="77777777" w:rsidTr="00B4274A">
        <w:tc>
          <w:tcPr>
            <w:tcW w:w="1885" w:type="dxa"/>
          </w:tcPr>
          <w:p w14:paraId="5186A55C"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14:paraId="35829BAE" w14:textId="77777777" w:rsidR="00887725" w:rsidRPr="00C32A20" w:rsidRDefault="00887725" w:rsidP="00B4274A">
            <w:pPr>
              <w:rPr>
                <w:rFonts w:ascii="Garamond" w:hAnsi="Garamond"/>
                <w:b/>
              </w:rPr>
            </w:pPr>
            <w:r>
              <w:rPr>
                <w:rFonts w:ascii="Garamond" w:hAnsi="Garamond"/>
              </w:rPr>
              <w:t xml:space="preserve">Ibn </w:t>
            </w:r>
            <w:proofErr w:type="spellStart"/>
            <w:r>
              <w:rPr>
                <w:rFonts w:ascii="Garamond" w:hAnsi="Garamond"/>
              </w:rPr>
              <w:t>Sina</w:t>
            </w:r>
            <w:proofErr w:type="spellEnd"/>
            <w:r>
              <w:rPr>
                <w:rFonts w:ascii="Garamond" w:hAnsi="Garamond"/>
              </w:rPr>
              <w:t xml:space="preserve">, </w:t>
            </w:r>
            <w:r w:rsidRPr="00C32A20">
              <w:rPr>
                <w:rFonts w:ascii="Garamond" w:hAnsi="Garamond"/>
              </w:rPr>
              <w:t xml:space="preserve">“On the Soul,” from </w:t>
            </w:r>
            <w:r w:rsidRPr="00C32A20">
              <w:rPr>
                <w:rFonts w:ascii="Garamond" w:hAnsi="Garamond"/>
                <w:i/>
              </w:rPr>
              <w:t>The Book of Salvation</w:t>
            </w:r>
            <w:r>
              <w:rPr>
                <w:rFonts w:ascii="Garamond" w:hAnsi="Garamond"/>
                <w:i/>
              </w:rPr>
              <w:t xml:space="preserve"> </w:t>
            </w:r>
            <w:r>
              <w:rPr>
                <w:rFonts w:ascii="Garamond" w:hAnsi="Garamond"/>
              </w:rPr>
              <w:t>(</w:t>
            </w:r>
            <w:proofErr w:type="spellStart"/>
            <w:r>
              <w:rPr>
                <w:rFonts w:ascii="Garamond" w:hAnsi="Garamond"/>
              </w:rPr>
              <w:t>Khalidi</w:t>
            </w:r>
            <w:proofErr w:type="spellEnd"/>
            <w:r>
              <w:rPr>
                <w:rFonts w:ascii="Garamond" w:hAnsi="Garamond"/>
              </w:rPr>
              <w:t xml:space="preserve"> trans., pages </w:t>
            </w:r>
            <w:r w:rsidRPr="00C32A20">
              <w:rPr>
                <w:rFonts w:ascii="Garamond" w:hAnsi="Garamond"/>
              </w:rPr>
              <w:t>46-57</w:t>
            </w:r>
            <w:r>
              <w:rPr>
                <w:rFonts w:ascii="Garamond" w:hAnsi="Garamond"/>
              </w:rPr>
              <w:t>)</w:t>
            </w:r>
            <w:r w:rsidRPr="00C32A20">
              <w:rPr>
                <w:rFonts w:ascii="Garamond" w:hAnsi="Garamond"/>
              </w:rPr>
              <w:t>.</w:t>
            </w:r>
          </w:p>
        </w:tc>
      </w:tr>
      <w:tr w:rsidR="00887725" w:rsidRPr="00C32A20" w14:paraId="5BA997ED" w14:textId="77777777" w:rsidTr="00B4274A">
        <w:tc>
          <w:tcPr>
            <w:tcW w:w="1885" w:type="dxa"/>
          </w:tcPr>
          <w:p w14:paraId="53085FA7" w14:textId="77777777" w:rsidR="00887725" w:rsidRPr="00C32A20" w:rsidRDefault="00887725" w:rsidP="00B4274A">
            <w:pPr>
              <w:rPr>
                <w:rFonts w:ascii="Garamond" w:hAnsi="Garamond"/>
              </w:rPr>
            </w:pPr>
            <w:r w:rsidRPr="00C32A20">
              <w:rPr>
                <w:rFonts w:ascii="Garamond" w:hAnsi="Garamond"/>
                <w:bCs/>
              </w:rPr>
              <w:lastRenderedPageBreak/>
              <w:t>Supp</w:t>
            </w:r>
            <w:r>
              <w:rPr>
                <w:rFonts w:ascii="Garamond" w:hAnsi="Garamond"/>
                <w:bCs/>
              </w:rPr>
              <w:t>.</w:t>
            </w:r>
            <w:r w:rsidRPr="00C32A20">
              <w:rPr>
                <w:rFonts w:ascii="Garamond" w:hAnsi="Garamond"/>
                <w:bCs/>
              </w:rPr>
              <w:t xml:space="preserve"> reading:</w:t>
            </w:r>
          </w:p>
        </w:tc>
        <w:tc>
          <w:tcPr>
            <w:tcW w:w="7465" w:type="dxa"/>
          </w:tcPr>
          <w:p w14:paraId="034A7CFD" w14:textId="77777777" w:rsidR="00887725" w:rsidRPr="00C32A20" w:rsidRDefault="00454017" w:rsidP="00B4274A">
            <w:pPr>
              <w:rPr>
                <w:rFonts w:ascii="Garamond" w:hAnsi="Garamond"/>
              </w:rPr>
            </w:pPr>
            <w:hyperlink r:id="rId15" w:history="1">
              <w:r w:rsidR="00887725" w:rsidRPr="00C32A20">
                <w:rPr>
                  <w:rStyle w:val="Hyperlink"/>
                  <w:rFonts w:ascii="Garamond" w:hAnsi="Garamond"/>
                </w:rPr>
                <w:t xml:space="preserve">Daniel C. Dennett, “Where Am </w:t>
              </w:r>
              <w:proofErr w:type="gramStart"/>
              <w:r w:rsidR="00887725" w:rsidRPr="00C32A20">
                <w:rPr>
                  <w:rStyle w:val="Hyperlink"/>
                  <w:rFonts w:ascii="Garamond" w:hAnsi="Garamond"/>
                </w:rPr>
                <w:t>I?,</w:t>
              </w:r>
              <w:proofErr w:type="gramEnd"/>
              <w:r w:rsidR="00887725" w:rsidRPr="00C32A20">
                <w:rPr>
                  <w:rStyle w:val="Hyperlink"/>
                  <w:rFonts w:ascii="Garamond" w:hAnsi="Garamond"/>
                </w:rPr>
                <w:t xml:space="preserve">” excerpt from </w:t>
              </w:r>
              <w:r w:rsidR="00887725" w:rsidRPr="00C32A20">
                <w:rPr>
                  <w:rStyle w:val="Hyperlink"/>
                  <w:rFonts w:ascii="Garamond" w:hAnsi="Garamond"/>
                  <w:i/>
                </w:rPr>
                <w:t>Brainstorms: Philosophical Essays on Mind and Psychology</w:t>
              </w:r>
            </w:hyperlink>
            <w:r w:rsidR="00887725" w:rsidRPr="00C32A20">
              <w:rPr>
                <w:rFonts w:ascii="Garamond" w:hAnsi="Garamond"/>
                <w:color w:val="000000" w:themeColor="text1"/>
              </w:rPr>
              <w:t xml:space="preserve"> (Bradford Books, 1978).</w:t>
            </w:r>
          </w:p>
        </w:tc>
      </w:tr>
    </w:tbl>
    <w:p w14:paraId="14EB64FC" w14:textId="77777777" w:rsidR="00887725" w:rsidRPr="00C32A20" w:rsidRDefault="00887725" w:rsidP="00887725">
      <w:pPr>
        <w:rPr>
          <w:rFonts w:ascii="Garamond" w:hAnsi="Garamond"/>
          <w:b/>
        </w:rPr>
      </w:pPr>
    </w:p>
    <w:p w14:paraId="258DD9B6"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7CEE4A75" w14:textId="77777777" w:rsidTr="00B4274A">
        <w:tc>
          <w:tcPr>
            <w:tcW w:w="1885" w:type="dxa"/>
          </w:tcPr>
          <w:p w14:paraId="4DE5DD81" w14:textId="4F92617B" w:rsidR="00887725" w:rsidRPr="00C32A20" w:rsidRDefault="000036AC" w:rsidP="00B4274A">
            <w:pPr>
              <w:rPr>
                <w:rFonts w:ascii="Garamond" w:hAnsi="Garamond"/>
                <w:b/>
              </w:rPr>
            </w:pPr>
            <w:r>
              <w:rPr>
                <w:rFonts w:ascii="Garamond" w:hAnsi="Garamond"/>
                <w:b/>
                <w:bCs/>
                <w:szCs w:val="24"/>
              </w:rPr>
              <w:t>Class</w:t>
            </w:r>
          </w:p>
        </w:tc>
        <w:tc>
          <w:tcPr>
            <w:tcW w:w="7465" w:type="dxa"/>
          </w:tcPr>
          <w:p w14:paraId="066F7529" w14:textId="77777777" w:rsidR="00887725" w:rsidRPr="00C32A20" w:rsidRDefault="00887725" w:rsidP="00B4274A">
            <w:pPr>
              <w:rPr>
                <w:rFonts w:ascii="Garamond" w:hAnsi="Garamond"/>
                <w:b/>
              </w:rPr>
            </w:pPr>
            <w:r w:rsidRPr="00C32A20">
              <w:rPr>
                <w:rFonts w:ascii="Garamond" w:hAnsi="Garamond"/>
                <w:b/>
              </w:rPr>
              <w:t>Is Religious Belief Founded in Reason?</w:t>
            </w:r>
          </w:p>
        </w:tc>
      </w:tr>
      <w:tr w:rsidR="00887725" w:rsidRPr="00C32A20" w14:paraId="09A4B9FB" w14:textId="77777777" w:rsidTr="00B4274A">
        <w:tc>
          <w:tcPr>
            <w:tcW w:w="1885" w:type="dxa"/>
          </w:tcPr>
          <w:p w14:paraId="5CAB5CEB"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14:paraId="35188B4C" w14:textId="77777777" w:rsidR="00887725" w:rsidRPr="006D596D" w:rsidRDefault="00887725" w:rsidP="00B4274A">
            <w:pPr>
              <w:rPr>
                <w:rFonts w:ascii="Garamond" w:hAnsi="Garamond"/>
                <w:b/>
              </w:rPr>
            </w:pPr>
            <w:r w:rsidRPr="006D596D">
              <w:rPr>
                <w:rFonts w:ascii="Garamond" w:hAnsi="Garamond"/>
              </w:rPr>
              <w:t xml:space="preserve">Al-Ghazali, </w:t>
            </w:r>
            <w:r w:rsidRPr="006D596D">
              <w:rPr>
                <w:rFonts w:ascii="Garamond" w:hAnsi="Garamond"/>
                <w:i/>
              </w:rPr>
              <w:t>The Rescuer from Error,</w:t>
            </w:r>
            <w:r w:rsidRPr="006D596D">
              <w:rPr>
                <w:rFonts w:ascii="Garamond" w:hAnsi="Garamond"/>
              </w:rPr>
              <w:t xml:space="preserve"> by Al-Ghazali</w:t>
            </w:r>
            <w:r>
              <w:rPr>
                <w:rFonts w:ascii="Garamond" w:hAnsi="Garamond"/>
              </w:rPr>
              <w:t xml:space="preserve"> (</w:t>
            </w:r>
            <w:proofErr w:type="spellStart"/>
            <w:r>
              <w:rPr>
                <w:rFonts w:ascii="Garamond" w:hAnsi="Garamond"/>
              </w:rPr>
              <w:t>Khalidi</w:t>
            </w:r>
            <w:proofErr w:type="spellEnd"/>
            <w:r>
              <w:rPr>
                <w:rFonts w:ascii="Garamond" w:hAnsi="Garamond"/>
              </w:rPr>
              <w:t xml:space="preserve"> trans., pages </w:t>
            </w:r>
            <w:r w:rsidRPr="006D596D">
              <w:rPr>
                <w:rFonts w:ascii="Garamond" w:hAnsi="Garamond"/>
              </w:rPr>
              <w:t>59-78</w:t>
            </w:r>
            <w:r>
              <w:rPr>
                <w:rFonts w:ascii="Garamond" w:hAnsi="Garamond"/>
              </w:rPr>
              <w:t>:</w:t>
            </w:r>
            <w:r w:rsidRPr="006D596D">
              <w:rPr>
                <w:rFonts w:ascii="Garamond" w:hAnsi="Garamond"/>
              </w:rPr>
              <w:t xml:space="preserve"> roughly first half of the work). </w:t>
            </w:r>
          </w:p>
        </w:tc>
      </w:tr>
      <w:tr w:rsidR="00887725" w:rsidRPr="00C32A20" w14:paraId="03916B29" w14:textId="77777777" w:rsidTr="00B4274A">
        <w:tc>
          <w:tcPr>
            <w:tcW w:w="1885" w:type="dxa"/>
          </w:tcPr>
          <w:p w14:paraId="0F7F7DB8"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2906C3C7" w14:textId="77777777" w:rsidR="00887725" w:rsidRPr="006D596D" w:rsidRDefault="00454017" w:rsidP="00B4274A">
            <w:pPr>
              <w:rPr>
                <w:rFonts w:ascii="Garamond" w:hAnsi="Garamond"/>
              </w:rPr>
            </w:pPr>
            <w:hyperlink r:id="rId16" w:history="1">
              <w:r w:rsidR="000C48D1" w:rsidRPr="000C48D1">
                <w:rPr>
                  <w:rStyle w:val="Hyperlink"/>
                  <w:rFonts w:ascii="Garamond" w:hAnsi="Garamond"/>
                </w:rPr>
                <w:t>B.C., “A Millennium-old Argument,” The Economist April 22, 2015</w:t>
              </w:r>
            </w:hyperlink>
            <w:r w:rsidR="000C48D1">
              <w:rPr>
                <w:rFonts w:ascii="Garamond" w:hAnsi="Garamond"/>
              </w:rPr>
              <w:t xml:space="preserve">. </w:t>
            </w:r>
          </w:p>
        </w:tc>
      </w:tr>
      <w:tr w:rsidR="000C48D1" w:rsidRPr="00C32A20" w14:paraId="24191A75" w14:textId="77777777" w:rsidTr="00B4274A">
        <w:tc>
          <w:tcPr>
            <w:tcW w:w="1885" w:type="dxa"/>
          </w:tcPr>
          <w:p w14:paraId="7CC8AA67" w14:textId="77777777" w:rsidR="000C48D1" w:rsidRPr="00C32A20" w:rsidRDefault="000C48D1" w:rsidP="00B4274A">
            <w:pPr>
              <w:rPr>
                <w:rFonts w:ascii="Garamond" w:hAnsi="Garamond"/>
                <w:bCs/>
              </w:rPr>
            </w:pPr>
            <w:r>
              <w:rPr>
                <w:rFonts w:ascii="Garamond" w:hAnsi="Garamond"/>
                <w:bCs/>
              </w:rPr>
              <w:t>Optional:</w:t>
            </w:r>
          </w:p>
        </w:tc>
        <w:tc>
          <w:tcPr>
            <w:tcW w:w="7465" w:type="dxa"/>
          </w:tcPr>
          <w:p w14:paraId="393E3F8F" w14:textId="77777777" w:rsidR="000C48D1" w:rsidRPr="006D596D" w:rsidRDefault="00454017" w:rsidP="00B4274A">
            <w:pPr>
              <w:rPr>
                <w:rFonts w:ascii="Garamond" w:hAnsi="Garamond"/>
              </w:rPr>
            </w:pPr>
            <w:hyperlink r:id="rId17" w:history="1">
              <w:r w:rsidR="000C48D1" w:rsidRPr="000C48D1">
                <w:rPr>
                  <w:rStyle w:val="Hyperlink"/>
                  <w:rFonts w:ascii="Garamond" w:hAnsi="Garamond"/>
                </w:rPr>
                <w:t xml:space="preserve">Melvyn Bragg and Guests, “Al-Ghazali,” </w:t>
              </w:r>
              <w:r w:rsidR="000C48D1" w:rsidRPr="000C48D1">
                <w:rPr>
                  <w:rStyle w:val="Hyperlink"/>
                  <w:rFonts w:ascii="Garamond" w:hAnsi="Garamond"/>
                  <w:i/>
                </w:rPr>
                <w:t>In Our Time Broadcast</w:t>
              </w:r>
              <w:r w:rsidR="000C48D1" w:rsidRPr="000C48D1">
                <w:rPr>
                  <w:rStyle w:val="Hyperlink"/>
                  <w:rFonts w:ascii="Garamond" w:hAnsi="Garamond"/>
                </w:rPr>
                <w:t>, BBC Radio 4, 19 March 2015</w:t>
              </w:r>
            </w:hyperlink>
            <w:r w:rsidR="000C48D1">
              <w:rPr>
                <w:rFonts w:ascii="Garamond" w:hAnsi="Garamond"/>
              </w:rPr>
              <w:t>.</w:t>
            </w:r>
          </w:p>
        </w:tc>
      </w:tr>
    </w:tbl>
    <w:p w14:paraId="7218B53F" w14:textId="77777777" w:rsidR="00887725" w:rsidRPr="00C32A20" w:rsidRDefault="00887725" w:rsidP="00887725">
      <w:pPr>
        <w:rPr>
          <w:rFonts w:ascii="Garamond" w:hAnsi="Garamond"/>
          <w:b/>
        </w:rPr>
      </w:pPr>
    </w:p>
    <w:p w14:paraId="38EE1B50"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6A925A4C" w14:textId="77777777" w:rsidTr="00B4274A">
        <w:tc>
          <w:tcPr>
            <w:tcW w:w="1885" w:type="dxa"/>
          </w:tcPr>
          <w:p w14:paraId="219A956B" w14:textId="0531F1EC" w:rsidR="00887725" w:rsidRPr="00C32A20" w:rsidRDefault="000036AC" w:rsidP="00B4274A">
            <w:pPr>
              <w:rPr>
                <w:rFonts w:ascii="Garamond" w:hAnsi="Garamond"/>
                <w:b/>
              </w:rPr>
            </w:pPr>
            <w:r>
              <w:rPr>
                <w:rFonts w:ascii="Garamond" w:hAnsi="Garamond"/>
                <w:b/>
                <w:bCs/>
                <w:szCs w:val="24"/>
              </w:rPr>
              <w:t>Class</w:t>
            </w:r>
          </w:p>
        </w:tc>
        <w:tc>
          <w:tcPr>
            <w:tcW w:w="7465" w:type="dxa"/>
          </w:tcPr>
          <w:p w14:paraId="4262FD0B" w14:textId="77777777" w:rsidR="00887725" w:rsidRPr="00C32A20" w:rsidRDefault="00887725" w:rsidP="00B4274A">
            <w:pPr>
              <w:rPr>
                <w:rFonts w:ascii="Garamond" w:hAnsi="Garamond"/>
                <w:b/>
              </w:rPr>
            </w:pPr>
            <w:r w:rsidRPr="00C32A20">
              <w:rPr>
                <w:rFonts w:ascii="Garamond" w:hAnsi="Garamond"/>
                <w:b/>
              </w:rPr>
              <w:t xml:space="preserve">Is Religious Belief Founded in </w:t>
            </w:r>
            <w:r>
              <w:rPr>
                <w:rFonts w:ascii="Garamond" w:hAnsi="Garamond"/>
                <w:b/>
              </w:rPr>
              <w:t>Experience</w:t>
            </w:r>
            <w:r w:rsidRPr="00C32A20">
              <w:rPr>
                <w:rFonts w:ascii="Garamond" w:hAnsi="Garamond"/>
                <w:b/>
              </w:rPr>
              <w:t>?</w:t>
            </w:r>
          </w:p>
        </w:tc>
      </w:tr>
      <w:tr w:rsidR="00887725" w:rsidRPr="00C32A20" w14:paraId="3D7DB072" w14:textId="77777777" w:rsidTr="00B4274A">
        <w:tc>
          <w:tcPr>
            <w:tcW w:w="1885" w:type="dxa"/>
          </w:tcPr>
          <w:p w14:paraId="0B9F0482" w14:textId="77777777" w:rsidR="00887725" w:rsidRPr="00D1095F" w:rsidRDefault="00887725" w:rsidP="00B4274A">
            <w:pPr>
              <w:rPr>
                <w:rFonts w:ascii="Garamond" w:hAnsi="Garamond"/>
              </w:rPr>
            </w:pPr>
            <w:r w:rsidRPr="00C32A20">
              <w:rPr>
                <w:rFonts w:ascii="Garamond" w:hAnsi="Garamond"/>
                <w:bCs/>
              </w:rPr>
              <w:t xml:space="preserve">Core </w:t>
            </w:r>
            <w:r w:rsidRPr="00D1095F">
              <w:rPr>
                <w:rFonts w:ascii="Garamond" w:hAnsi="Garamond"/>
              </w:rPr>
              <w:t>reading:</w:t>
            </w:r>
          </w:p>
        </w:tc>
        <w:tc>
          <w:tcPr>
            <w:tcW w:w="7465" w:type="dxa"/>
          </w:tcPr>
          <w:p w14:paraId="6E7C9C1B" w14:textId="77777777" w:rsidR="00887725" w:rsidRPr="00C32A20" w:rsidRDefault="00887725" w:rsidP="00B4274A">
            <w:pPr>
              <w:rPr>
                <w:rFonts w:ascii="Garamond" w:hAnsi="Garamond"/>
                <w:b/>
              </w:rPr>
            </w:pPr>
            <w:r>
              <w:rPr>
                <w:rFonts w:ascii="Garamond" w:hAnsi="Garamond"/>
              </w:rPr>
              <w:t xml:space="preserve">Al-Ghazali, </w:t>
            </w:r>
            <w:r w:rsidRPr="00C32A20">
              <w:rPr>
                <w:rFonts w:ascii="Garamond" w:hAnsi="Garamond"/>
                <w:i/>
              </w:rPr>
              <w:t>The Rescuer from Error,</w:t>
            </w:r>
            <w:r w:rsidRPr="00C32A20">
              <w:rPr>
                <w:rFonts w:ascii="Garamond" w:hAnsi="Garamond"/>
              </w:rPr>
              <w:t xml:space="preserve"> by Al-Ghazali</w:t>
            </w:r>
            <w:r>
              <w:rPr>
                <w:rFonts w:ascii="Garamond" w:hAnsi="Garamond"/>
              </w:rPr>
              <w:t xml:space="preserve"> (</w:t>
            </w:r>
            <w:proofErr w:type="spellStart"/>
            <w:r w:rsidRPr="00C32A20">
              <w:rPr>
                <w:rFonts w:ascii="Garamond" w:hAnsi="Garamond"/>
              </w:rPr>
              <w:t>Khalidi</w:t>
            </w:r>
            <w:proofErr w:type="spellEnd"/>
            <w:r w:rsidRPr="00C32A20">
              <w:rPr>
                <w:rFonts w:ascii="Garamond" w:hAnsi="Garamond"/>
              </w:rPr>
              <w:t xml:space="preserve"> trans</w:t>
            </w:r>
            <w:r>
              <w:rPr>
                <w:rFonts w:ascii="Garamond" w:hAnsi="Garamond"/>
              </w:rPr>
              <w:t>., pages 79-98: roughly second half of the work)</w:t>
            </w:r>
            <w:r w:rsidRPr="00C32A20">
              <w:rPr>
                <w:rFonts w:ascii="Garamond" w:hAnsi="Garamond"/>
              </w:rPr>
              <w:t>.</w:t>
            </w:r>
          </w:p>
        </w:tc>
      </w:tr>
      <w:tr w:rsidR="00887725" w:rsidRPr="00C32A20" w14:paraId="1F4E5AF7" w14:textId="77777777" w:rsidTr="00B4274A">
        <w:tc>
          <w:tcPr>
            <w:tcW w:w="1885" w:type="dxa"/>
          </w:tcPr>
          <w:p w14:paraId="19E6C9FA" w14:textId="77777777" w:rsidR="00887725" w:rsidRPr="00D1095F" w:rsidRDefault="00887725" w:rsidP="00B4274A">
            <w:pPr>
              <w:rPr>
                <w:rFonts w:ascii="Garamond" w:hAnsi="Garamond"/>
              </w:rPr>
            </w:pPr>
            <w:r w:rsidRPr="00D1095F">
              <w:rPr>
                <w:rFonts w:ascii="Garamond" w:hAnsi="Garamond"/>
              </w:rPr>
              <w:t xml:space="preserve">Optional reading: </w:t>
            </w:r>
          </w:p>
        </w:tc>
        <w:tc>
          <w:tcPr>
            <w:tcW w:w="7465" w:type="dxa"/>
          </w:tcPr>
          <w:p w14:paraId="45DF3703" w14:textId="77777777" w:rsidR="00887725" w:rsidRPr="00C32A20" w:rsidRDefault="00887725" w:rsidP="00B4274A">
            <w:pPr>
              <w:rPr>
                <w:rFonts w:ascii="Garamond" w:hAnsi="Garamond"/>
                <w:b/>
              </w:rPr>
            </w:pPr>
            <w:r w:rsidRPr="00C32A20">
              <w:rPr>
                <w:rFonts w:ascii="Garamond" w:hAnsi="Garamond"/>
              </w:rPr>
              <w:t xml:space="preserve">Ibn </w:t>
            </w:r>
            <w:proofErr w:type="spellStart"/>
            <w:r w:rsidRPr="00C32A20">
              <w:rPr>
                <w:rFonts w:ascii="Garamond" w:hAnsi="Garamond"/>
              </w:rPr>
              <w:t>Rushd</w:t>
            </w:r>
            <w:proofErr w:type="spellEnd"/>
            <w:r w:rsidRPr="00C32A20">
              <w:rPr>
                <w:rFonts w:ascii="Garamond" w:hAnsi="Garamond"/>
              </w:rPr>
              <w:t xml:space="preserve">, </w:t>
            </w:r>
            <w:r w:rsidRPr="00C32A20">
              <w:rPr>
                <w:rFonts w:ascii="Garamond" w:hAnsi="Garamond"/>
                <w:i/>
              </w:rPr>
              <w:t>The Incoherence of the Incoherence</w:t>
            </w:r>
            <w:r>
              <w:rPr>
                <w:rFonts w:ascii="Garamond" w:hAnsi="Garamond"/>
                <w:i/>
              </w:rPr>
              <w:t xml:space="preserve"> </w:t>
            </w:r>
            <w:r>
              <w:rPr>
                <w:rFonts w:ascii="Garamond" w:hAnsi="Garamond"/>
              </w:rPr>
              <w:t>(</w:t>
            </w:r>
            <w:proofErr w:type="spellStart"/>
            <w:r>
              <w:rPr>
                <w:rFonts w:ascii="Garamond" w:hAnsi="Garamond"/>
              </w:rPr>
              <w:t>Khalidi</w:t>
            </w:r>
            <w:proofErr w:type="spellEnd"/>
            <w:r>
              <w:rPr>
                <w:rFonts w:ascii="Garamond" w:hAnsi="Garamond"/>
              </w:rPr>
              <w:t xml:space="preserve"> trans., pages </w:t>
            </w:r>
            <w:r w:rsidRPr="00C32A20">
              <w:rPr>
                <w:rFonts w:ascii="Garamond" w:hAnsi="Garamond"/>
              </w:rPr>
              <w:t>155-180</w:t>
            </w:r>
            <w:r>
              <w:rPr>
                <w:rFonts w:ascii="Garamond" w:hAnsi="Garamond"/>
              </w:rPr>
              <w:t>).</w:t>
            </w:r>
          </w:p>
        </w:tc>
      </w:tr>
      <w:tr w:rsidR="00887725" w:rsidRPr="00C32A20" w14:paraId="51C826C0" w14:textId="77777777" w:rsidTr="00B4274A">
        <w:tc>
          <w:tcPr>
            <w:tcW w:w="1885" w:type="dxa"/>
          </w:tcPr>
          <w:p w14:paraId="1C046649" w14:textId="77777777" w:rsidR="00887725" w:rsidRPr="00C32A20" w:rsidRDefault="00887725" w:rsidP="00B4274A">
            <w:pPr>
              <w:rPr>
                <w:rFonts w:ascii="Garamond" w:hAnsi="Garamond"/>
                <w:bCs/>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6FD4CCF8" w14:textId="77777777" w:rsidR="00887725" w:rsidRPr="00C32A20" w:rsidRDefault="00454017" w:rsidP="00B4274A">
            <w:pPr>
              <w:rPr>
                <w:rFonts w:ascii="Garamond" w:hAnsi="Garamond"/>
              </w:rPr>
            </w:pPr>
            <w:hyperlink r:id="rId18" w:history="1">
              <w:r w:rsidR="00887725" w:rsidRPr="00C32A20">
                <w:rPr>
                  <w:rStyle w:val="Hyperlink"/>
                  <w:rFonts w:ascii="Garamond" w:hAnsi="Garamond"/>
                </w:rPr>
                <w:t>Laurie A. Paul and Paul Bloom, “How Should We Make the Most Important Decisions of Our Lives? A Philosophical Debate,”</w:t>
              </w:r>
            </w:hyperlink>
            <w:r w:rsidR="00887725" w:rsidRPr="00C32A20">
              <w:rPr>
                <w:rFonts w:ascii="Garamond" w:hAnsi="Garamond"/>
                <w:color w:val="000000" w:themeColor="text1"/>
              </w:rPr>
              <w:t xml:space="preserve"> </w:t>
            </w:r>
            <w:r w:rsidR="00887725" w:rsidRPr="00C32A20">
              <w:rPr>
                <w:rFonts w:ascii="Garamond" w:hAnsi="Garamond"/>
                <w:i/>
                <w:color w:val="000000" w:themeColor="text1"/>
              </w:rPr>
              <w:t>Slate</w:t>
            </w:r>
            <w:r w:rsidR="00887725" w:rsidRPr="00C32A20">
              <w:rPr>
                <w:rFonts w:ascii="Garamond" w:hAnsi="Garamond"/>
                <w:color w:val="000000" w:themeColor="text1"/>
              </w:rPr>
              <w:t xml:space="preserve"> March 5, 2015.</w:t>
            </w:r>
          </w:p>
        </w:tc>
      </w:tr>
    </w:tbl>
    <w:p w14:paraId="3825605D" w14:textId="77777777" w:rsidR="00887725" w:rsidRDefault="00887725" w:rsidP="00887725">
      <w:pPr>
        <w:rPr>
          <w:rFonts w:ascii="Garamond" w:hAnsi="Garamond"/>
          <w:b/>
        </w:rPr>
      </w:pPr>
    </w:p>
    <w:p w14:paraId="0CEE9459" w14:textId="77777777" w:rsidR="006F2664" w:rsidRPr="00C32A20" w:rsidRDefault="006F2664"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31929224" w14:textId="77777777" w:rsidTr="00B4274A">
        <w:tc>
          <w:tcPr>
            <w:tcW w:w="1885" w:type="dxa"/>
          </w:tcPr>
          <w:p w14:paraId="37BDD587" w14:textId="62F1AFBB" w:rsidR="00887725" w:rsidRPr="00C32A20" w:rsidRDefault="000036AC" w:rsidP="00B4274A">
            <w:pPr>
              <w:rPr>
                <w:rFonts w:ascii="Garamond" w:hAnsi="Garamond"/>
                <w:b/>
              </w:rPr>
            </w:pPr>
            <w:r>
              <w:rPr>
                <w:rFonts w:ascii="Garamond" w:hAnsi="Garamond"/>
                <w:b/>
                <w:bCs/>
                <w:szCs w:val="24"/>
              </w:rPr>
              <w:t>Class</w:t>
            </w:r>
          </w:p>
        </w:tc>
        <w:tc>
          <w:tcPr>
            <w:tcW w:w="7465" w:type="dxa"/>
          </w:tcPr>
          <w:p w14:paraId="08B5628E" w14:textId="77777777" w:rsidR="00887725" w:rsidRPr="00C32A20" w:rsidRDefault="00887725" w:rsidP="00B4274A">
            <w:pPr>
              <w:rPr>
                <w:rFonts w:ascii="Garamond" w:hAnsi="Garamond"/>
                <w:b/>
              </w:rPr>
            </w:pPr>
            <w:r w:rsidRPr="00C32A20">
              <w:rPr>
                <w:rFonts w:ascii="Garamond" w:hAnsi="Garamond"/>
                <w:b/>
              </w:rPr>
              <w:t>Can We Prove that God Exists?</w:t>
            </w:r>
          </w:p>
        </w:tc>
      </w:tr>
      <w:tr w:rsidR="00887725" w:rsidRPr="00C32A20" w14:paraId="6E0E6D01" w14:textId="77777777" w:rsidTr="00B4274A">
        <w:tc>
          <w:tcPr>
            <w:tcW w:w="1885" w:type="dxa"/>
          </w:tcPr>
          <w:p w14:paraId="5EFD3D87"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14:paraId="342E44B4" w14:textId="77777777" w:rsidR="00887725" w:rsidRPr="00C32A20" w:rsidRDefault="00887725" w:rsidP="00B4274A">
            <w:pPr>
              <w:rPr>
                <w:rFonts w:ascii="Garamond" w:hAnsi="Garamond"/>
                <w:b/>
              </w:rPr>
            </w:pPr>
            <w:r>
              <w:rPr>
                <w:rFonts w:ascii="Garamond" w:hAnsi="Garamond"/>
                <w:i/>
              </w:rPr>
              <w:t xml:space="preserve">Aquinas, </w:t>
            </w:r>
            <w:r w:rsidRPr="00C32A20">
              <w:rPr>
                <w:rFonts w:ascii="Garamond" w:hAnsi="Garamond"/>
                <w:i/>
              </w:rPr>
              <w:t>A Summary of Philosophy</w:t>
            </w:r>
            <w:r>
              <w:rPr>
                <w:rFonts w:ascii="Garamond" w:hAnsi="Garamond"/>
                <w:i/>
              </w:rPr>
              <w:t xml:space="preserve">, </w:t>
            </w:r>
            <w:r>
              <w:rPr>
                <w:rFonts w:ascii="Garamond" w:hAnsi="Garamond"/>
              </w:rPr>
              <w:t>(</w:t>
            </w:r>
            <w:r w:rsidRPr="00C32A20">
              <w:rPr>
                <w:rFonts w:ascii="Garamond" w:hAnsi="Garamond"/>
              </w:rPr>
              <w:t>pages 1-6 in Regan edition</w:t>
            </w:r>
            <w:r>
              <w:rPr>
                <w:rFonts w:ascii="Garamond" w:hAnsi="Garamond"/>
              </w:rPr>
              <w:t>)</w:t>
            </w:r>
            <w:r w:rsidRPr="00C32A20">
              <w:rPr>
                <w:rFonts w:ascii="Garamond" w:hAnsi="Garamond"/>
              </w:rPr>
              <w:t>.</w:t>
            </w:r>
            <w:r>
              <w:rPr>
                <w:rFonts w:ascii="Garamond" w:hAnsi="Garamond"/>
              </w:rPr>
              <w:t xml:space="preserve"> Excerpted from</w:t>
            </w:r>
            <w:r w:rsidRPr="00D1095F">
              <w:rPr>
                <w:rFonts w:ascii="Garamond" w:hAnsi="Garamond"/>
              </w:rPr>
              <w:t xml:space="preserve">: Aquinas’s </w:t>
            </w:r>
            <w:r w:rsidRPr="00D1095F">
              <w:rPr>
                <w:rFonts w:ascii="Garamond" w:hAnsi="Garamond"/>
                <w:i/>
              </w:rPr>
              <w:t xml:space="preserve">Summa </w:t>
            </w:r>
            <w:proofErr w:type="spellStart"/>
            <w:r w:rsidRPr="00D1095F">
              <w:rPr>
                <w:rFonts w:ascii="Garamond" w:hAnsi="Garamond"/>
                <w:i/>
              </w:rPr>
              <w:t>Theologicae</w:t>
            </w:r>
            <w:proofErr w:type="spellEnd"/>
            <w:r w:rsidRPr="00D1095F">
              <w:rPr>
                <w:rFonts w:ascii="Garamond" w:hAnsi="Garamond"/>
                <w:i/>
              </w:rPr>
              <w:t xml:space="preserve"> </w:t>
            </w:r>
            <w:r w:rsidRPr="00D1095F">
              <w:rPr>
                <w:rFonts w:ascii="Garamond" w:hAnsi="Garamond"/>
              </w:rPr>
              <w:t>Part 1, question 2, articles 1-3</w:t>
            </w:r>
            <w:r>
              <w:rPr>
                <w:rFonts w:ascii="Garamond" w:hAnsi="Garamond"/>
              </w:rPr>
              <w:t>.</w:t>
            </w:r>
          </w:p>
        </w:tc>
      </w:tr>
      <w:tr w:rsidR="00887725" w:rsidRPr="00C32A20" w14:paraId="0D6750CA" w14:textId="77777777" w:rsidTr="00B4274A">
        <w:tc>
          <w:tcPr>
            <w:tcW w:w="1885" w:type="dxa"/>
          </w:tcPr>
          <w:p w14:paraId="3A78A15F"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40D38377" w14:textId="77777777" w:rsidR="00887725" w:rsidRPr="00C32A20" w:rsidRDefault="00454017" w:rsidP="00B4274A">
            <w:pPr>
              <w:rPr>
                <w:rFonts w:ascii="Garamond" w:hAnsi="Garamond"/>
              </w:rPr>
            </w:pPr>
            <w:hyperlink r:id="rId19" w:history="1">
              <w:r w:rsidR="00887725" w:rsidRPr="00C32A20">
                <w:rPr>
                  <w:rStyle w:val="Hyperlink"/>
                  <w:rFonts w:ascii="Garamond" w:hAnsi="Garamond"/>
                </w:rPr>
                <w:t xml:space="preserve">Meghan Sullivan, “Uneasy Grace,” </w:t>
              </w:r>
              <w:r w:rsidR="00887725" w:rsidRPr="006F2664">
                <w:rPr>
                  <w:rStyle w:val="Hyperlink"/>
                  <w:rFonts w:ascii="Garamond" w:hAnsi="Garamond"/>
                  <w:i/>
                </w:rPr>
                <w:t>First Things</w:t>
              </w:r>
              <w:r w:rsidR="00887725" w:rsidRPr="00C32A20">
                <w:rPr>
                  <w:rStyle w:val="Hyperlink"/>
                  <w:rFonts w:ascii="Garamond" w:hAnsi="Garamond"/>
                </w:rPr>
                <w:t>, April 2014</w:t>
              </w:r>
            </w:hyperlink>
            <w:r w:rsidR="00887725" w:rsidRPr="00C32A20">
              <w:rPr>
                <w:rFonts w:ascii="Garamond" w:hAnsi="Garamond"/>
              </w:rPr>
              <w:t xml:space="preserve">. </w:t>
            </w:r>
          </w:p>
        </w:tc>
      </w:tr>
    </w:tbl>
    <w:p w14:paraId="4F92FFB7" w14:textId="77777777" w:rsidR="00887725" w:rsidRPr="00C32A20" w:rsidRDefault="00887725" w:rsidP="00887725">
      <w:pPr>
        <w:rPr>
          <w:rFonts w:ascii="Garamond" w:hAnsi="Garamond"/>
          <w:b/>
        </w:rPr>
      </w:pPr>
    </w:p>
    <w:p w14:paraId="5569015F"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40C86B4A" w14:textId="77777777" w:rsidTr="00B4274A">
        <w:tc>
          <w:tcPr>
            <w:tcW w:w="1885" w:type="dxa"/>
          </w:tcPr>
          <w:p w14:paraId="386676F3" w14:textId="3D8AF421" w:rsidR="00887725" w:rsidRPr="00C32A20" w:rsidRDefault="000036AC" w:rsidP="00B4274A">
            <w:pPr>
              <w:rPr>
                <w:rFonts w:ascii="Garamond" w:hAnsi="Garamond"/>
                <w:b/>
              </w:rPr>
            </w:pPr>
            <w:r>
              <w:rPr>
                <w:rFonts w:ascii="Garamond" w:hAnsi="Garamond"/>
                <w:b/>
                <w:bCs/>
                <w:szCs w:val="24"/>
              </w:rPr>
              <w:t>Class</w:t>
            </w:r>
          </w:p>
        </w:tc>
        <w:tc>
          <w:tcPr>
            <w:tcW w:w="7465" w:type="dxa"/>
          </w:tcPr>
          <w:p w14:paraId="4DEE0F29" w14:textId="77777777" w:rsidR="00887725" w:rsidRPr="00C32A20" w:rsidRDefault="00887725" w:rsidP="00B4274A">
            <w:pPr>
              <w:rPr>
                <w:rFonts w:ascii="Garamond" w:hAnsi="Garamond"/>
                <w:b/>
              </w:rPr>
            </w:pPr>
            <w:r w:rsidRPr="00C32A20">
              <w:rPr>
                <w:rFonts w:ascii="Garamond" w:hAnsi="Garamond"/>
                <w:b/>
              </w:rPr>
              <w:t>What is the Impersonal Nature of God?</w:t>
            </w:r>
          </w:p>
        </w:tc>
      </w:tr>
      <w:tr w:rsidR="00887725" w:rsidRPr="00C32A20" w14:paraId="254362D6" w14:textId="77777777" w:rsidTr="00B4274A">
        <w:tc>
          <w:tcPr>
            <w:tcW w:w="1885" w:type="dxa"/>
          </w:tcPr>
          <w:p w14:paraId="63C8D617"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465" w:type="dxa"/>
          </w:tcPr>
          <w:p w14:paraId="2ACA12E3" w14:textId="77777777" w:rsidR="00887725" w:rsidRPr="00E33B3A" w:rsidRDefault="00887725" w:rsidP="00B4274A">
            <w:pPr>
              <w:rPr>
                <w:rFonts w:ascii="Garamond" w:hAnsi="Garamond"/>
              </w:rPr>
            </w:pPr>
            <w:r w:rsidRPr="00E33B3A">
              <w:rPr>
                <w:rFonts w:ascii="Garamond" w:hAnsi="Garamond"/>
                <w:i/>
              </w:rPr>
              <w:t>Aquinas, A Summary of Philosophy</w:t>
            </w:r>
            <w:r w:rsidRPr="00E33B3A">
              <w:rPr>
                <w:rFonts w:ascii="Garamond" w:hAnsi="Garamond"/>
              </w:rPr>
              <w:t xml:space="preserve">, pages 6-20 in Regan edition. Excerpted from: Aquinas’s </w:t>
            </w:r>
            <w:r w:rsidRPr="00E33B3A">
              <w:rPr>
                <w:rFonts w:ascii="Garamond" w:hAnsi="Garamond"/>
                <w:i/>
              </w:rPr>
              <w:t xml:space="preserve">Summa </w:t>
            </w:r>
            <w:proofErr w:type="spellStart"/>
            <w:r w:rsidRPr="00E33B3A">
              <w:rPr>
                <w:rFonts w:ascii="Garamond" w:hAnsi="Garamond"/>
                <w:i/>
              </w:rPr>
              <w:t>Theologicae</w:t>
            </w:r>
            <w:proofErr w:type="spellEnd"/>
            <w:r w:rsidRPr="00E33B3A">
              <w:rPr>
                <w:rFonts w:ascii="Garamond" w:hAnsi="Garamond"/>
              </w:rPr>
              <w:t xml:space="preserve"> I, Q3, Q4, Q7, Q11, Q13</w:t>
            </w:r>
          </w:p>
        </w:tc>
      </w:tr>
      <w:tr w:rsidR="00887725" w:rsidRPr="00C32A20" w14:paraId="69825652" w14:textId="77777777" w:rsidTr="00B4274A">
        <w:tc>
          <w:tcPr>
            <w:tcW w:w="1885" w:type="dxa"/>
          </w:tcPr>
          <w:p w14:paraId="25337373"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41E0D619" w14:textId="77777777" w:rsidR="00887725" w:rsidRPr="00C32A20" w:rsidRDefault="00454017" w:rsidP="00B4274A">
            <w:pPr>
              <w:rPr>
                <w:rFonts w:ascii="Garamond" w:hAnsi="Garamond"/>
              </w:rPr>
            </w:pPr>
            <w:hyperlink r:id="rId20" w:history="1">
              <w:r w:rsidR="00887725" w:rsidRPr="00C32A20">
                <w:rPr>
                  <w:rStyle w:val="Hyperlink"/>
                  <w:rFonts w:ascii="Garamond" w:hAnsi="Garamond"/>
                </w:rPr>
                <w:t xml:space="preserve">Lawrence Shapiro, “A Drop in the Sea,” </w:t>
              </w:r>
              <w:r w:rsidR="00887725" w:rsidRPr="00C32A20">
                <w:rPr>
                  <w:rStyle w:val="Hyperlink"/>
                  <w:rFonts w:ascii="Garamond" w:hAnsi="Garamond"/>
                  <w:i/>
                </w:rPr>
                <w:t>Aeon</w:t>
              </w:r>
            </w:hyperlink>
            <w:r w:rsidR="00887725" w:rsidRPr="00C32A20">
              <w:rPr>
                <w:rFonts w:ascii="Garamond" w:hAnsi="Garamond"/>
              </w:rPr>
              <w:t xml:space="preserve"> November 1, 2013</w:t>
            </w:r>
          </w:p>
        </w:tc>
      </w:tr>
    </w:tbl>
    <w:p w14:paraId="0011A63E" w14:textId="77777777" w:rsidR="00887725" w:rsidRPr="00C32A20" w:rsidRDefault="00887725" w:rsidP="00887725">
      <w:pPr>
        <w:rPr>
          <w:rFonts w:ascii="Garamond" w:hAnsi="Garamond"/>
        </w:rPr>
      </w:pPr>
    </w:p>
    <w:p w14:paraId="40234435"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885"/>
        <w:gridCol w:w="7465"/>
      </w:tblGrid>
      <w:tr w:rsidR="00887725" w:rsidRPr="00C32A20" w14:paraId="79484AF9" w14:textId="77777777" w:rsidTr="00B4274A">
        <w:tc>
          <w:tcPr>
            <w:tcW w:w="1885" w:type="dxa"/>
          </w:tcPr>
          <w:p w14:paraId="23FC7B20" w14:textId="0A5BDA2C" w:rsidR="00887725" w:rsidRPr="00C32A20" w:rsidRDefault="000036AC" w:rsidP="00B4274A">
            <w:pPr>
              <w:rPr>
                <w:rFonts w:ascii="Garamond" w:hAnsi="Garamond"/>
                <w:b/>
              </w:rPr>
            </w:pPr>
            <w:r>
              <w:rPr>
                <w:rFonts w:ascii="Garamond" w:hAnsi="Garamond"/>
                <w:b/>
                <w:bCs/>
                <w:szCs w:val="24"/>
              </w:rPr>
              <w:t>Class</w:t>
            </w:r>
          </w:p>
        </w:tc>
        <w:tc>
          <w:tcPr>
            <w:tcW w:w="7465" w:type="dxa"/>
          </w:tcPr>
          <w:p w14:paraId="280C41E2" w14:textId="77777777" w:rsidR="00887725" w:rsidRPr="00C32A20" w:rsidRDefault="00887725" w:rsidP="00B4274A">
            <w:pPr>
              <w:rPr>
                <w:rFonts w:ascii="Garamond" w:hAnsi="Garamond"/>
              </w:rPr>
            </w:pPr>
            <w:r w:rsidRPr="00C32A20">
              <w:rPr>
                <w:rFonts w:ascii="Garamond" w:hAnsi="Garamond"/>
                <w:b/>
              </w:rPr>
              <w:t>What is the Personal Nature of God?</w:t>
            </w:r>
          </w:p>
        </w:tc>
      </w:tr>
      <w:tr w:rsidR="00887725" w:rsidRPr="00C32A20" w14:paraId="4EF36136" w14:textId="77777777" w:rsidTr="00B4274A">
        <w:tc>
          <w:tcPr>
            <w:tcW w:w="1885" w:type="dxa"/>
          </w:tcPr>
          <w:p w14:paraId="6571246C"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465" w:type="dxa"/>
          </w:tcPr>
          <w:p w14:paraId="408F27B7" w14:textId="77777777" w:rsidR="00887725" w:rsidRPr="00C32A20" w:rsidRDefault="00887725" w:rsidP="00B4274A">
            <w:pPr>
              <w:rPr>
                <w:rFonts w:ascii="Garamond" w:hAnsi="Garamond"/>
                <w:b/>
              </w:rPr>
            </w:pPr>
            <w:r w:rsidRPr="00E33B3A">
              <w:rPr>
                <w:rFonts w:ascii="Garamond" w:hAnsi="Garamond"/>
              </w:rPr>
              <w:t>Aq</w:t>
            </w:r>
            <w:r>
              <w:rPr>
                <w:rFonts w:ascii="Garamond" w:hAnsi="Garamond"/>
              </w:rPr>
              <w:t>u</w:t>
            </w:r>
            <w:r w:rsidRPr="00E33B3A">
              <w:rPr>
                <w:rFonts w:ascii="Garamond" w:hAnsi="Garamond"/>
              </w:rPr>
              <w:t xml:space="preserve">inas, </w:t>
            </w:r>
            <w:r w:rsidRPr="00C32A20">
              <w:rPr>
                <w:rFonts w:ascii="Garamond" w:hAnsi="Garamond"/>
                <w:i/>
              </w:rPr>
              <w:t xml:space="preserve">A Summary of </w:t>
            </w:r>
            <w:r w:rsidRPr="00887725">
              <w:rPr>
                <w:rFonts w:ascii="Garamond" w:hAnsi="Garamond"/>
              </w:rPr>
              <w:t>Philosophy</w:t>
            </w:r>
            <w:r>
              <w:rPr>
                <w:rFonts w:ascii="Garamond" w:hAnsi="Garamond"/>
              </w:rPr>
              <w:t xml:space="preserve">, </w:t>
            </w:r>
            <w:r w:rsidRPr="00887725">
              <w:rPr>
                <w:rFonts w:ascii="Garamond" w:hAnsi="Garamond"/>
              </w:rPr>
              <w:t>abridged</w:t>
            </w:r>
            <w:r w:rsidRPr="00C32A20">
              <w:rPr>
                <w:rFonts w:ascii="Garamond" w:hAnsi="Garamond"/>
              </w:rPr>
              <w:t xml:space="preserve"> from his </w:t>
            </w:r>
            <w:r w:rsidRPr="00C32A20">
              <w:rPr>
                <w:rFonts w:ascii="Garamond" w:hAnsi="Garamond"/>
                <w:i/>
              </w:rPr>
              <w:t>Summa Theologica</w:t>
            </w:r>
            <w:r>
              <w:rPr>
                <w:rFonts w:ascii="Garamond" w:hAnsi="Garamond"/>
              </w:rPr>
              <w:t>, (</w:t>
            </w:r>
            <w:r w:rsidRPr="00C32A20">
              <w:rPr>
                <w:rFonts w:ascii="Garamond" w:hAnsi="Garamond"/>
              </w:rPr>
              <w:t>pages 20-37</w:t>
            </w:r>
            <w:r>
              <w:rPr>
                <w:rFonts w:ascii="Garamond" w:hAnsi="Garamond"/>
              </w:rPr>
              <w:t xml:space="preserve"> in Regan edition). Ex</w:t>
            </w:r>
            <w:r w:rsidRPr="00E33B3A">
              <w:rPr>
                <w:rFonts w:ascii="Garamond" w:hAnsi="Garamond"/>
              </w:rPr>
              <w:t xml:space="preserve">cerpted from Aquinas’s </w:t>
            </w:r>
            <w:r w:rsidRPr="00E33B3A">
              <w:rPr>
                <w:rFonts w:ascii="Garamond" w:hAnsi="Garamond"/>
                <w:i/>
              </w:rPr>
              <w:t xml:space="preserve">Summa </w:t>
            </w:r>
            <w:proofErr w:type="spellStart"/>
            <w:r w:rsidRPr="00E33B3A">
              <w:rPr>
                <w:rFonts w:ascii="Garamond" w:hAnsi="Garamond"/>
                <w:i/>
              </w:rPr>
              <w:t>Theologicae</w:t>
            </w:r>
            <w:proofErr w:type="spellEnd"/>
            <w:r w:rsidRPr="00E33B3A">
              <w:rPr>
                <w:rFonts w:ascii="Garamond" w:hAnsi="Garamond"/>
              </w:rPr>
              <w:t xml:space="preserve"> I, Q14, Q19, Q20.</w:t>
            </w:r>
          </w:p>
        </w:tc>
      </w:tr>
      <w:tr w:rsidR="00887725" w:rsidRPr="00C32A20" w14:paraId="0AF5269C" w14:textId="77777777" w:rsidTr="00B4274A">
        <w:tc>
          <w:tcPr>
            <w:tcW w:w="1885" w:type="dxa"/>
          </w:tcPr>
          <w:p w14:paraId="69E52444"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16AD21C4" w14:textId="77777777" w:rsidR="00887725" w:rsidRPr="004E293C" w:rsidRDefault="00454017" w:rsidP="00B4274A">
            <w:pPr>
              <w:rPr>
                <w:rFonts w:ascii="Garamond" w:hAnsi="Garamond"/>
                <w:b/>
              </w:rPr>
            </w:pPr>
            <w:hyperlink r:id="rId21" w:history="1">
              <w:r w:rsidR="004E293C" w:rsidRPr="004E293C">
                <w:rPr>
                  <w:rStyle w:val="Hyperlink"/>
                  <w:rFonts w:ascii="Garamond" w:hAnsi="Garamond"/>
                </w:rPr>
                <w:t xml:space="preserve">Julie </w:t>
              </w:r>
              <w:proofErr w:type="spellStart"/>
              <w:r w:rsidR="004E293C" w:rsidRPr="004E293C">
                <w:rPr>
                  <w:rStyle w:val="Hyperlink"/>
                  <w:rFonts w:ascii="Garamond" w:hAnsi="Garamond"/>
                </w:rPr>
                <w:t>Zauzmer</w:t>
              </w:r>
              <w:proofErr w:type="spellEnd"/>
              <w:r w:rsidR="004E293C" w:rsidRPr="004E293C">
                <w:rPr>
                  <w:rStyle w:val="Hyperlink"/>
                  <w:rFonts w:ascii="Garamond" w:hAnsi="Garamond"/>
                </w:rPr>
                <w:t xml:space="preserve">, </w:t>
              </w:r>
              <w:r w:rsidR="00532C8D" w:rsidRPr="004E293C">
                <w:rPr>
                  <w:rStyle w:val="Hyperlink"/>
                  <w:rFonts w:ascii="Garamond" w:hAnsi="Garamond"/>
                </w:rPr>
                <w:t xml:space="preserve">“Is God </w:t>
              </w:r>
              <w:r w:rsidR="004E293C" w:rsidRPr="004E293C">
                <w:rPr>
                  <w:rStyle w:val="Hyperlink"/>
                  <w:rFonts w:ascii="Garamond" w:hAnsi="Garamond"/>
                </w:rPr>
                <w:t xml:space="preserve">male? The Episcopal Church debates whether to change its Book of Common Prayer,” </w:t>
              </w:r>
              <w:r w:rsidR="004E293C" w:rsidRPr="004E293C">
                <w:rPr>
                  <w:rStyle w:val="Hyperlink"/>
                  <w:rFonts w:ascii="Garamond" w:hAnsi="Garamond"/>
                  <w:i/>
                </w:rPr>
                <w:t>The Washington Post</w:t>
              </w:r>
              <w:r w:rsidR="004E293C" w:rsidRPr="004E293C">
                <w:rPr>
                  <w:rStyle w:val="Hyperlink"/>
                  <w:rFonts w:ascii="Garamond" w:hAnsi="Garamond"/>
                </w:rPr>
                <w:t>, July 3, 2018</w:t>
              </w:r>
            </w:hyperlink>
            <w:r w:rsidR="004E293C" w:rsidRPr="004E293C">
              <w:rPr>
                <w:rStyle w:val="Hyperlink"/>
                <w:rFonts w:ascii="Garamond" w:hAnsi="Garamond"/>
                <w:color w:val="000000" w:themeColor="text1"/>
                <w:u w:val="none"/>
              </w:rPr>
              <w:t xml:space="preserve">; OR </w:t>
            </w:r>
            <w:hyperlink r:id="rId22" w:history="1">
              <w:r w:rsidR="004E293C" w:rsidRPr="004E293C">
                <w:rPr>
                  <w:rStyle w:val="Hyperlink"/>
                  <w:rFonts w:ascii="Garamond" w:hAnsi="Garamond"/>
                </w:rPr>
                <w:t xml:space="preserve">C.S. Lewis, “Priestesses in the Church?” from </w:t>
              </w:r>
              <w:r w:rsidR="004E293C" w:rsidRPr="004E293C">
                <w:rPr>
                  <w:rStyle w:val="Hyperlink"/>
                  <w:rFonts w:ascii="Garamond" w:hAnsi="Garamond"/>
                  <w:i/>
                </w:rPr>
                <w:t>God in the Dock</w:t>
              </w:r>
              <w:r w:rsidR="004E293C" w:rsidRPr="004E293C">
                <w:rPr>
                  <w:rStyle w:val="Hyperlink"/>
                  <w:rFonts w:ascii="Garamond" w:hAnsi="Garamond"/>
                </w:rPr>
                <w:t xml:space="preserve"> (Grand Rapids, MI: William B. </w:t>
              </w:r>
              <w:proofErr w:type="spellStart"/>
              <w:r w:rsidR="004E293C" w:rsidRPr="004E293C">
                <w:rPr>
                  <w:rStyle w:val="Hyperlink"/>
                  <w:rFonts w:ascii="Garamond" w:hAnsi="Garamond"/>
                </w:rPr>
                <w:t>Erdmanns</w:t>
              </w:r>
              <w:proofErr w:type="spellEnd"/>
            </w:hyperlink>
            <w:r w:rsidR="004E293C" w:rsidRPr="004E293C">
              <w:rPr>
                <w:rStyle w:val="Hyperlink"/>
                <w:rFonts w:ascii="Garamond" w:hAnsi="Garamond"/>
                <w:color w:val="000000" w:themeColor="text1"/>
                <w:u w:val="none"/>
              </w:rPr>
              <w:t xml:space="preserve">); OR </w:t>
            </w:r>
            <w:hyperlink r:id="rId23" w:history="1">
              <w:r w:rsidR="00887725" w:rsidRPr="004E293C">
                <w:rPr>
                  <w:rStyle w:val="Hyperlink"/>
                  <w:rFonts w:ascii="Garamond" w:hAnsi="Garamond"/>
                </w:rPr>
                <w:t>Michael Rea, “Gender as a Divine Attribute</w:t>
              </w:r>
            </w:hyperlink>
            <w:r w:rsidR="00887725" w:rsidRPr="004E293C">
              <w:rPr>
                <w:rFonts w:ascii="Garamond" w:hAnsi="Garamond"/>
                <w:color w:val="000000" w:themeColor="text1"/>
              </w:rPr>
              <w:t>.</w:t>
            </w:r>
          </w:p>
        </w:tc>
      </w:tr>
    </w:tbl>
    <w:p w14:paraId="79D6F04E" w14:textId="77777777" w:rsidR="00887725" w:rsidRPr="00C32A20" w:rsidRDefault="00887725" w:rsidP="00887725">
      <w:pPr>
        <w:rPr>
          <w:rFonts w:ascii="Garamond" w:hAnsi="Garamond"/>
          <w:b/>
        </w:rPr>
      </w:pPr>
    </w:p>
    <w:p w14:paraId="5F7BB1CF" w14:textId="77777777" w:rsidR="000036AC" w:rsidRPr="00C32A20" w:rsidRDefault="000036AC" w:rsidP="000036AC">
      <w:pPr>
        <w:rPr>
          <w:rFonts w:ascii="Garamond" w:hAnsi="Garamond"/>
          <w:b/>
        </w:rPr>
      </w:pPr>
    </w:p>
    <w:tbl>
      <w:tblPr>
        <w:tblStyle w:val="TableGrid"/>
        <w:tblW w:w="0" w:type="auto"/>
        <w:tblLook w:val="04A0" w:firstRow="1" w:lastRow="0" w:firstColumn="1" w:lastColumn="0" w:noHBand="0" w:noVBand="1"/>
      </w:tblPr>
      <w:tblGrid>
        <w:gridCol w:w="1885"/>
        <w:gridCol w:w="7465"/>
      </w:tblGrid>
      <w:tr w:rsidR="000036AC" w:rsidRPr="00C32A20" w14:paraId="583812ED" w14:textId="77777777" w:rsidTr="00751DEE">
        <w:tc>
          <w:tcPr>
            <w:tcW w:w="1885" w:type="dxa"/>
          </w:tcPr>
          <w:p w14:paraId="27614750" w14:textId="77777777" w:rsidR="000036AC" w:rsidRPr="00C32A20" w:rsidRDefault="000036AC" w:rsidP="00751DEE">
            <w:pPr>
              <w:rPr>
                <w:rFonts w:ascii="Garamond" w:hAnsi="Garamond"/>
                <w:b/>
              </w:rPr>
            </w:pPr>
            <w:r>
              <w:rPr>
                <w:rFonts w:ascii="Garamond" w:hAnsi="Garamond"/>
                <w:b/>
                <w:bCs/>
                <w:szCs w:val="24"/>
              </w:rPr>
              <w:t>Class</w:t>
            </w:r>
          </w:p>
        </w:tc>
        <w:tc>
          <w:tcPr>
            <w:tcW w:w="7465" w:type="dxa"/>
          </w:tcPr>
          <w:p w14:paraId="59F99E3B" w14:textId="57E03ECC" w:rsidR="000036AC" w:rsidRPr="00C32A20" w:rsidRDefault="00787975" w:rsidP="00751DEE">
            <w:pPr>
              <w:rPr>
                <w:rFonts w:ascii="Garamond" w:hAnsi="Garamond"/>
                <w:b/>
              </w:rPr>
            </w:pPr>
            <w:r>
              <w:rPr>
                <w:rFonts w:ascii="Garamond" w:hAnsi="Garamond"/>
                <w:b/>
              </w:rPr>
              <w:t>What is Salvation?</w:t>
            </w:r>
          </w:p>
        </w:tc>
      </w:tr>
      <w:tr w:rsidR="000036AC" w:rsidRPr="00C32A20" w14:paraId="18DC3449" w14:textId="77777777" w:rsidTr="00751DEE">
        <w:tc>
          <w:tcPr>
            <w:tcW w:w="1885" w:type="dxa"/>
          </w:tcPr>
          <w:p w14:paraId="7A3AF199" w14:textId="77777777" w:rsidR="000036AC" w:rsidRPr="00C32A20" w:rsidRDefault="000036AC" w:rsidP="00751DEE">
            <w:pPr>
              <w:rPr>
                <w:rFonts w:ascii="Garamond" w:hAnsi="Garamond"/>
              </w:rPr>
            </w:pPr>
            <w:r w:rsidRPr="00C32A20">
              <w:rPr>
                <w:rFonts w:ascii="Garamond" w:hAnsi="Garamond"/>
                <w:bCs/>
              </w:rPr>
              <w:t xml:space="preserve">Core </w:t>
            </w:r>
            <w:r w:rsidRPr="00C32A20">
              <w:rPr>
                <w:rFonts w:ascii="Garamond" w:hAnsi="Garamond"/>
              </w:rPr>
              <w:t>reading:</w:t>
            </w:r>
          </w:p>
        </w:tc>
        <w:tc>
          <w:tcPr>
            <w:tcW w:w="7465" w:type="dxa"/>
          </w:tcPr>
          <w:p w14:paraId="4253832D" w14:textId="7F7B2EF2" w:rsidR="000036AC" w:rsidRPr="00E33B3A" w:rsidRDefault="00787975" w:rsidP="00751DEE">
            <w:pPr>
              <w:rPr>
                <w:rFonts w:ascii="Garamond" w:hAnsi="Garamond"/>
              </w:rPr>
            </w:pPr>
            <w:r w:rsidRPr="00787975">
              <w:rPr>
                <w:rFonts w:ascii="Garamond" w:hAnsi="Garamond"/>
                <w:iCs/>
              </w:rPr>
              <w:t xml:space="preserve">Marguerite </w:t>
            </w:r>
            <w:proofErr w:type="spellStart"/>
            <w:r w:rsidRPr="00787975">
              <w:rPr>
                <w:rFonts w:ascii="Garamond" w:hAnsi="Garamond"/>
                <w:iCs/>
              </w:rPr>
              <w:t>Porete</w:t>
            </w:r>
            <w:proofErr w:type="spellEnd"/>
            <w:r w:rsidRPr="00787975">
              <w:rPr>
                <w:rFonts w:ascii="Garamond" w:hAnsi="Garamond"/>
                <w:iCs/>
              </w:rPr>
              <w:t xml:space="preserve">, </w:t>
            </w:r>
            <w:r>
              <w:rPr>
                <w:rFonts w:ascii="Garamond" w:hAnsi="Garamond"/>
                <w:i/>
              </w:rPr>
              <w:t xml:space="preserve">The Mirror of Simple Souls, </w:t>
            </w:r>
            <w:r>
              <w:t xml:space="preserve">Chapter 114, p. 184-185 [=Division XIII, Chapter 11, pp. 242-244, </w:t>
            </w:r>
            <w:proofErr w:type="spellStart"/>
            <w:r>
              <w:t>Babinsky</w:t>
            </w:r>
            <w:proofErr w:type="spellEnd"/>
            <w:r>
              <w:t xml:space="preserve"> trans.]; Chapter 118, p. 189-194 [= Division XIV, Chapters 1-7, pp. 251-262, </w:t>
            </w:r>
            <w:proofErr w:type="spellStart"/>
            <w:r>
              <w:t>Babinsky</w:t>
            </w:r>
            <w:proofErr w:type="spellEnd"/>
            <w:r>
              <w:t xml:space="preserve"> trans.]</w:t>
            </w:r>
          </w:p>
        </w:tc>
      </w:tr>
      <w:tr w:rsidR="000036AC" w:rsidRPr="00C32A20" w14:paraId="5C2CF553" w14:textId="77777777" w:rsidTr="00751DEE">
        <w:tc>
          <w:tcPr>
            <w:tcW w:w="1885" w:type="dxa"/>
          </w:tcPr>
          <w:p w14:paraId="52CE8D50" w14:textId="77777777" w:rsidR="000036AC" w:rsidRPr="00C32A20" w:rsidRDefault="000036AC" w:rsidP="00751DEE">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59102A20" w14:textId="59ABC568" w:rsidR="000036AC" w:rsidRPr="00C32A20" w:rsidRDefault="00024753" w:rsidP="00751DEE">
            <w:pPr>
              <w:rPr>
                <w:rFonts w:ascii="Garamond" w:hAnsi="Garamond"/>
              </w:rPr>
            </w:pPr>
            <w:r>
              <w:t xml:space="preserve">Peter Adamson, “After Virtue: Marguerite </w:t>
            </w:r>
            <w:proofErr w:type="spellStart"/>
            <w:r>
              <w:t>Porete</w:t>
            </w:r>
            <w:proofErr w:type="spellEnd"/>
            <w:r>
              <w:t>,” History of Philosophy without Any Gaps, episode 267, podcast posted on 17 December 2016, URL=</w:t>
            </w:r>
            <w:hyperlink r:id="rId24" w:history="1">
              <w:r w:rsidRPr="00024753">
                <w:rPr>
                  <w:rStyle w:val="Hyperlink"/>
                </w:rPr>
                <w:t>https://historyofphilosophy.net/marguerite-porete</w:t>
              </w:r>
            </w:hyperlink>
            <w:r>
              <w:t xml:space="preserve"> </w:t>
            </w:r>
          </w:p>
        </w:tc>
      </w:tr>
    </w:tbl>
    <w:p w14:paraId="45CDE509" w14:textId="77777777"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885"/>
        <w:gridCol w:w="7465"/>
      </w:tblGrid>
      <w:tr w:rsidR="00887725" w:rsidRPr="00C32A20" w14:paraId="4885A45A" w14:textId="77777777" w:rsidTr="00B4274A">
        <w:tc>
          <w:tcPr>
            <w:tcW w:w="1885" w:type="dxa"/>
          </w:tcPr>
          <w:p w14:paraId="06D85820" w14:textId="66E2A312" w:rsidR="00887725" w:rsidRPr="00C32A20" w:rsidRDefault="000036AC" w:rsidP="00B4274A">
            <w:pPr>
              <w:rPr>
                <w:rFonts w:ascii="Garamond" w:hAnsi="Garamond"/>
                <w:b/>
              </w:rPr>
            </w:pPr>
            <w:r>
              <w:rPr>
                <w:rFonts w:ascii="Garamond" w:hAnsi="Garamond"/>
                <w:b/>
                <w:bCs/>
                <w:szCs w:val="24"/>
              </w:rPr>
              <w:t>Class</w:t>
            </w:r>
          </w:p>
        </w:tc>
        <w:tc>
          <w:tcPr>
            <w:tcW w:w="7465" w:type="dxa"/>
          </w:tcPr>
          <w:p w14:paraId="34B96C89" w14:textId="77777777" w:rsidR="00887725" w:rsidRPr="00C32A20" w:rsidRDefault="00887725" w:rsidP="00B4274A">
            <w:pPr>
              <w:rPr>
                <w:rFonts w:ascii="Garamond" w:hAnsi="Garamond"/>
                <w:b/>
              </w:rPr>
            </w:pPr>
            <w:r w:rsidRPr="00C32A20">
              <w:rPr>
                <w:rFonts w:ascii="Garamond" w:hAnsi="Garamond"/>
                <w:b/>
              </w:rPr>
              <w:t>Should We “Bet” on God?</w:t>
            </w:r>
          </w:p>
        </w:tc>
      </w:tr>
      <w:tr w:rsidR="00887725" w:rsidRPr="00C32A20" w14:paraId="045361E6" w14:textId="77777777" w:rsidTr="00B4274A">
        <w:tc>
          <w:tcPr>
            <w:tcW w:w="1885" w:type="dxa"/>
          </w:tcPr>
          <w:p w14:paraId="49FEEFB4"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465" w:type="dxa"/>
          </w:tcPr>
          <w:p w14:paraId="543EB284" w14:textId="77777777" w:rsidR="00887725" w:rsidRPr="00C32A20" w:rsidRDefault="00454017" w:rsidP="00B4274A">
            <w:pPr>
              <w:rPr>
                <w:rFonts w:ascii="Garamond" w:hAnsi="Garamond"/>
                <w:b/>
              </w:rPr>
            </w:pPr>
            <w:hyperlink r:id="rId25" w:history="1">
              <w:r w:rsidR="00887725" w:rsidRPr="00E33B3A">
                <w:rPr>
                  <w:rStyle w:val="Hyperlink"/>
                  <w:rFonts w:ascii="Garamond" w:hAnsi="Garamond"/>
                </w:rPr>
                <w:t>Pascal, “The Wager”</w:t>
              </w:r>
            </w:hyperlink>
            <w:r w:rsidR="00887725">
              <w:rPr>
                <w:rFonts w:ascii="Garamond" w:hAnsi="Garamond"/>
              </w:rPr>
              <w:t xml:space="preserve"> </w:t>
            </w:r>
          </w:p>
        </w:tc>
      </w:tr>
      <w:tr w:rsidR="00887725" w:rsidRPr="00C32A20" w14:paraId="4845BA62" w14:textId="77777777" w:rsidTr="00B4274A">
        <w:tc>
          <w:tcPr>
            <w:tcW w:w="1885" w:type="dxa"/>
          </w:tcPr>
          <w:p w14:paraId="0DDF7645"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465" w:type="dxa"/>
          </w:tcPr>
          <w:p w14:paraId="50C8F401" w14:textId="77777777" w:rsidR="00887725" w:rsidRPr="00C32A20" w:rsidRDefault="00454017" w:rsidP="00B4274A">
            <w:pPr>
              <w:rPr>
                <w:rFonts w:ascii="Garamond" w:hAnsi="Garamond"/>
                <w:b/>
              </w:rPr>
            </w:pPr>
            <w:hyperlink r:id="rId26" w:history="1">
              <w:r w:rsidR="00887725" w:rsidRPr="00C32A20">
                <w:rPr>
                  <w:rStyle w:val="Hyperlink"/>
                  <w:rFonts w:ascii="Garamond" w:hAnsi="Garamond"/>
                </w:rPr>
                <w:t xml:space="preserve">Gary Gutting, “Pascal’s Wager 2.0,” </w:t>
              </w:r>
              <w:r w:rsidR="00887725" w:rsidRPr="00C32A20">
                <w:rPr>
                  <w:rStyle w:val="Hyperlink"/>
                  <w:rFonts w:ascii="Garamond" w:hAnsi="Garamond"/>
                  <w:i/>
                </w:rPr>
                <w:t>New York Times</w:t>
              </w:r>
              <w:r w:rsidR="00887725" w:rsidRPr="00C32A20">
                <w:rPr>
                  <w:rStyle w:val="Hyperlink"/>
                  <w:rFonts w:ascii="Garamond" w:hAnsi="Garamond"/>
                </w:rPr>
                <w:t>, September 15, 2015</w:t>
              </w:r>
            </w:hyperlink>
            <w:r w:rsidR="00887725" w:rsidRPr="00C32A20">
              <w:rPr>
                <w:rFonts w:ascii="Garamond" w:hAnsi="Garamond"/>
              </w:rPr>
              <w:t>.</w:t>
            </w:r>
          </w:p>
        </w:tc>
      </w:tr>
    </w:tbl>
    <w:p w14:paraId="1D9C3A30" w14:textId="77777777" w:rsidR="00887725" w:rsidRPr="00C32A20" w:rsidRDefault="00887725" w:rsidP="00887725">
      <w:pPr>
        <w:rPr>
          <w:rFonts w:ascii="Garamond" w:hAnsi="Garamond"/>
        </w:rPr>
      </w:pPr>
    </w:p>
    <w:p w14:paraId="0D71084D" w14:textId="77777777"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14:paraId="524F8D36" w14:textId="77777777" w:rsidTr="00B4274A">
        <w:tc>
          <w:tcPr>
            <w:tcW w:w="1975" w:type="dxa"/>
          </w:tcPr>
          <w:p w14:paraId="445822AD" w14:textId="795E9481" w:rsidR="00887725" w:rsidRPr="00540602" w:rsidRDefault="000036AC" w:rsidP="00B4274A">
            <w:pPr>
              <w:rPr>
                <w:rFonts w:ascii="Garamond" w:hAnsi="Garamond"/>
                <w:b/>
              </w:rPr>
            </w:pPr>
            <w:r>
              <w:rPr>
                <w:rFonts w:ascii="Garamond" w:hAnsi="Garamond"/>
                <w:b/>
                <w:bCs/>
                <w:szCs w:val="24"/>
              </w:rPr>
              <w:lastRenderedPageBreak/>
              <w:t>Class</w:t>
            </w:r>
          </w:p>
        </w:tc>
        <w:tc>
          <w:tcPr>
            <w:tcW w:w="7375" w:type="dxa"/>
          </w:tcPr>
          <w:p w14:paraId="0437233D" w14:textId="77777777" w:rsidR="00887725" w:rsidRPr="00540602" w:rsidRDefault="00887725" w:rsidP="00B4274A">
            <w:pPr>
              <w:rPr>
                <w:rFonts w:ascii="Garamond" w:hAnsi="Garamond"/>
                <w:b/>
              </w:rPr>
            </w:pPr>
            <w:r w:rsidRPr="00540602">
              <w:rPr>
                <w:rFonts w:ascii="Garamond" w:hAnsi="Garamond"/>
                <w:b/>
              </w:rPr>
              <w:t>Is God Nature?</w:t>
            </w:r>
          </w:p>
        </w:tc>
      </w:tr>
      <w:tr w:rsidR="00887725" w:rsidRPr="00C32A20" w14:paraId="0ED968EF" w14:textId="77777777" w:rsidTr="00B4274A">
        <w:tc>
          <w:tcPr>
            <w:tcW w:w="1975" w:type="dxa"/>
          </w:tcPr>
          <w:p w14:paraId="50E93758"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14:paraId="1DFD05EF" w14:textId="77777777" w:rsidR="00887725" w:rsidRPr="00C32A20" w:rsidRDefault="00887725" w:rsidP="00B4274A">
            <w:pPr>
              <w:rPr>
                <w:rFonts w:ascii="Garamond" w:hAnsi="Garamond"/>
                <w:b/>
              </w:rPr>
            </w:pPr>
            <w:r w:rsidRPr="00C32A20">
              <w:rPr>
                <w:rFonts w:ascii="Garamond" w:hAnsi="Garamond"/>
              </w:rPr>
              <w:t xml:space="preserve">Spinoza’s </w:t>
            </w:r>
            <w:r w:rsidRPr="00C32A20">
              <w:rPr>
                <w:rFonts w:ascii="Garamond" w:hAnsi="Garamond"/>
                <w:i/>
              </w:rPr>
              <w:t>Ethics</w:t>
            </w:r>
            <w:r w:rsidRPr="00C32A20">
              <w:rPr>
                <w:rFonts w:ascii="Garamond" w:hAnsi="Garamond"/>
              </w:rPr>
              <w:t>, Part I, Definitions, Axioms, Explication, Propositions 1-15 (including demonstrations and scholia), Appendix (appears at end of Part I) (pages 31-43, 57-62 in the Shirley edition).</w:t>
            </w:r>
          </w:p>
        </w:tc>
      </w:tr>
      <w:tr w:rsidR="00887725" w:rsidRPr="00C32A20" w14:paraId="35A1233B" w14:textId="77777777" w:rsidTr="00B4274A">
        <w:tc>
          <w:tcPr>
            <w:tcW w:w="1975" w:type="dxa"/>
          </w:tcPr>
          <w:p w14:paraId="459B5AC3"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73F5BEAF" w14:textId="77777777" w:rsidR="00887725" w:rsidRPr="00C32A20" w:rsidRDefault="00454017" w:rsidP="00B4274A">
            <w:pPr>
              <w:rPr>
                <w:rFonts w:ascii="Garamond" w:hAnsi="Garamond"/>
              </w:rPr>
            </w:pPr>
            <w:hyperlink r:id="rId27" w:history="1">
              <w:r w:rsidR="00887725" w:rsidRPr="00C32A20">
                <w:rPr>
                  <w:rStyle w:val="Hyperlink"/>
                  <w:rFonts w:ascii="Garamond" w:hAnsi="Garamond"/>
                </w:rPr>
                <w:t xml:space="preserve">Jonathan Bennett, “Glimpses of Spinoza,” </w:t>
              </w:r>
              <w:r w:rsidR="00887725" w:rsidRPr="002B0255">
                <w:rPr>
                  <w:rStyle w:val="Hyperlink"/>
                  <w:rFonts w:ascii="Garamond" w:hAnsi="Garamond"/>
                  <w:i/>
                </w:rPr>
                <w:t>Syracuse Scholar</w:t>
              </w:r>
              <w:r w:rsidR="00887725" w:rsidRPr="00C32A20">
                <w:rPr>
                  <w:rStyle w:val="Hyperlink"/>
                  <w:rFonts w:ascii="Garamond" w:hAnsi="Garamond"/>
                </w:rPr>
                <w:t xml:space="preserve"> (4) 1983, 43-56.</w:t>
              </w:r>
            </w:hyperlink>
            <w:r w:rsidR="00887725" w:rsidRPr="00C32A20">
              <w:rPr>
                <w:rFonts w:ascii="Garamond" w:hAnsi="Garamond"/>
              </w:rPr>
              <w:t xml:space="preserve"> </w:t>
            </w:r>
          </w:p>
        </w:tc>
      </w:tr>
    </w:tbl>
    <w:p w14:paraId="1F3EB7EB" w14:textId="77777777" w:rsidR="00887725" w:rsidRPr="00C32A20" w:rsidRDefault="00887725" w:rsidP="00887725">
      <w:pPr>
        <w:rPr>
          <w:rFonts w:ascii="Garamond" w:hAnsi="Garamond"/>
          <w:b/>
        </w:rPr>
      </w:pPr>
    </w:p>
    <w:p w14:paraId="44227A3A"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14:paraId="295AF811" w14:textId="77777777" w:rsidTr="00B4274A">
        <w:tc>
          <w:tcPr>
            <w:tcW w:w="1975" w:type="dxa"/>
          </w:tcPr>
          <w:p w14:paraId="79B7E453" w14:textId="4BFE1DFD" w:rsidR="00887725" w:rsidRPr="00C32A20" w:rsidRDefault="000036AC" w:rsidP="00B4274A">
            <w:pPr>
              <w:rPr>
                <w:rFonts w:ascii="Garamond" w:hAnsi="Garamond"/>
                <w:b/>
              </w:rPr>
            </w:pPr>
            <w:r>
              <w:rPr>
                <w:rFonts w:ascii="Garamond" w:hAnsi="Garamond"/>
                <w:b/>
                <w:bCs/>
                <w:szCs w:val="24"/>
              </w:rPr>
              <w:t>Class</w:t>
            </w:r>
          </w:p>
        </w:tc>
        <w:tc>
          <w:tcPr>
            <w:tcW w:w="7375" w:type="dxa"/>
          </w:tcPr>
          <w:p w14:paraId="1EBF3B84" w14:textId="77777777" w:rsidR="00887725" w:rsidRPr="00C32A20" w:rsidRDefault="00887725" w:rsidP="00B4274A">
            <w:pPr>
              <w:rPr>
                <w:rFonts w:ascii="Garamond" w:hAnsi="Garamond"/>
                <w:b/>
              </w:rPr>
            </w:pPr>
            <w:r w:rsidRPr="00C32A20">
              <w:rPr>
                <w:rFonts w:ascii="Garamond" w:hAnsi="Garamond"/>
                <w:b/>
              </w:rPr>
              <w:t>Are We Modes of God?</w:t>
            </w:r>
          </w:p>
        </w:tc>
      </w:tr>
      <w:tr w:rsidR="00887725" w:rsidRPr="00C32A20" w14:paraId="6504C4A6" w14:textId="77777777" w:rsidTr="00B4274A">
        <w:tc>
          <w:tcPr>
            <w:tcW w:w="1975" w:type="dxa"/>
          </w:tcPr>
          <w:p w14:paraId="21EB7819"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14:paraId="616B1B57" w14:textId="77777777" w:rsidR="00887725" w:rsidRPr="00C32A20" w:rsidRDefault="00887725" w:rsidP="00B4274A">
            <w:pPr>
              <w:rPr>
                <w:rFonts w:ascii="Garamond" w:hAnsi="Garamond"/>
                <w:b/>
              </w:rPr>
            </w:pPr>
            <w:r w:rsidRPr="00C32A20">
              <w:rPr>
                <w:rFonts w:ascii="Garamond" w:hAnsi="Garamond"/>
              </w:rPr>
              <w:t xml:space="preserve">Spinoza’s </w:t>
            </w:r>
            <w:r w:rsidRPr="00C32A20">
              <w:rPr>
                <w:rFonts w:ascii="Garamond" w:hAnsi="Garamond"/>
                <w:i/>
              </w:rPr>
              <w:t>Ethics</w:t>
            </w:r>
            <w:r w:rsidRPr="00C32A20">
              <w:rPr>
                <w:rFonts w:ascii="Garamond" w:hAnsi="Garamond"/>
              </w:rPr>
              <w:t>, Part I, 1d3, 1d4, 1d5; Part II, Axioms, Propositions 1-3, 6,7, 9, 10, 48 (dem but not scholium), 49Scholium (together with dem, scholium, corollary); Part III, Preface, Definitions, Propositions 1,2, 6-13</w:t>
            </w:r>
          </w:p>
        </w:tc>
      </w:tr>
      <w:tr w:rsidR="00887725" w:rsidRPr="00C32A20" w14:paraId="0813E91B" w14:textId="77777777" w:rsidTr="00B4274A">
        <w:tc>
          <w:tcPr>
            <w:tcW w:w="1975" w:type="dxa"/>
          </w:tcPr>
          <w:p w14:paraId="02F911AA"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282755D1" w14:textId="77777777" w:rsidR="00887725" w:rsidRPr="00C32A20" w:rsidRDefault="00454017" w:rsidP="00B4274A">
            <w:pPr>
              <w:rPr>
                <w:rFonts w:ascii="Garamond" w:hAnsi="Garamond"/>
                <w:b/>
              </w:rPr>
            </w:pPr>
            <w:hyperlink r:id="rId28" w:history="1">
              <w:r w:rsidR="00887725" w:rsidRPr="00C32A20">
                <w:rPr>
                  <w:rStyle w:val="Hyperlink"/>
                  <w:rFonts w:ascii="Garamond" w:hAnsi="Garamond"/>
                </w:rPr>
                <w:t xml:space="preserve">Gregg Caruso and Daniel Dennett, “Just Deserts,” </w:t>
              </w:r>
              <w:r w:rsidR="00887725" w:rsidRPr="00C32A20">
                <w:rPr>
                  <w:rStyle w:val="Hyperlink"/>
                  <w:rFonts w:ascii="Garamond" w:hAnsi="Garamond"/>
                  <w:i/>
                </w:rPr>
                <w:t>Aeon</w:t>
              </w:r>
              <w:r w:rsidR="00887725" w:rsidRPr="00C32A20">
                <w:rPr>
                  <w:rStyle w:val="Hyperlink"/>
                  <w:rFonts w:ascii="Garamond" w:hAnsi="Garamond"/>
                </w:rPr>
                <w:t xml:space="preserve"> October 4, 2018</w:t>
              </w:r>
            </w:hyperlink>
            <w:r w:rsidR="00887725" w:rsidRPr="00C32A20">
              <w:rPr>
                <w:rFonts w:ascii="Garamond" w:hAnsi="Garamond"/>
                <w:color w:val="000000" w:themeColor="text1"/>
              </w:rPr>
              <w:t>.</w:t>
            </w:r>
          </w:p>
        </w:tc>
      </w:tr>
    </w:tbl>
    <w:p w14:paraId="7EE2616F" w14:textId="77777777" w:rsidR="00887725" w:rsidRPr="00C32A20" w:rsidRDefault="00887725" w:rsidP="00887725">
      <w:pPr>
        <w:rPr>
          <w:rFonts w:ascii="Garamond" w:hAnsi="Garamond"/>
          <w:b/>
        </w:rPr>
      </w:pPr>
    </w:p>
    <w:p w14:paraId="4DC0DB1B"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14:paraId="5741956C" w14:textId="77777777" w:rsidTr="00B4274A">
        <w:tc>
          <w:tcPr>
            <w:tcW w:w="1975" w:type="dxa"/>
          </w:tcPr>
          <w:p w14:paraId="7AA27757" w14:textId="7140337A" w:rsidR="00887725" w:rsidRPr="00C32A20" w:rsidRDefault="000036AC" w:rsidP="00B4274A">
            <w:pPr>
              <w:rPr>
                <w:rFonts w:ascii="Garamond" w:hAnsi="Garamond"/>
                <w:b/>
              </w:rPr>
            </w:pPr>
            <w:r>
              <w:rPr>
                <w:rFonts w:ascii="Garamond" w:hAnsi="Garamond"/>
                <w:b/>
                <w:bCs/>
                <w:szCs w:val="24"/>
              </w:rPr>
              <w:t>Class</w:t>
            </w:r>
          </w:p>
        </w:tc>
        <w:tc>
          <w:tcPr>
            <w:tcW w:w="7375" w:type="dxa"/>
          </w:tcPr>
          <w:p w14:paraId="45C95152" w14:textId="77777777" w:rsidR="00887725" w:rsidRPr="00C32A20" w:rsidRDefault="00887725" w:rsidP="00B4274A">
            <w:pPr>
              <w:rPr>
                <w:rFonts w:ascii="Garamond" w:hAnsi="Garamond"/>
                <w:b/>
              </w:rPr>
            </w:pPr>
            <w:r w:rsidRPr="00C32A20">
              <w:rPr>
                <w:rFonts w:ascii="Garamond" w:hAnsi="Garamond"/>
                <w:b/>
              </w:rPr>
              <w:t>Good without God?</w:t>
            </w:r>
          </w:p>
        </w:tc>
      </w:tr>
      <w:tr w:rsidR="00887725" w:rsidRPr="00C32A20" w14:paraId="5739E3B8" w14:textId="77777777" w:rsidTr="00B4274A">
        <w:tc>
          <w:tcPr>
            <w:tcW w:w="1975" w:type="dxa"/>
          </w:tcPr>
          <w:p w14:paraId="0A0E39E3" w14:textId="77777777" w:rsidR="00887725" w:rsidRPr="00BD763E" w:rsidRDefault="00887725" w:rsidP="00B4274A">
            <w:pPr>
              <w:rPr>
                <w:rFonts w:ascii="Garamond" w:hAnsi="Garamond"/>
              </w:rPr>
            </w:pPr>
            <w:r w:rsidRPr="00BD763E">
              <w:rPr>
                <w:rFonts w:ascii="Garamond" w:hAnsi="Garamond"/>
                <w:bCs/>
              </w:rPr>
              <w:t xml:space="preserve">Core </w:t>
            </w:r>
            <w:r w:rsidRPr="00BD763E">
              <w:rPr>
                <w:rFonts w:ascii="Garamond" w:hAnsi="Garamond"/>
              </w:rPr>
              <w:t>reading:</w:t>
            </w:r>
          </w:p>
        </w:tc>
        <w:tc>
          <w:tcPr>
            <w:tcW w:w="7375" w:type="dxa"/>
          </w:tcPr>
          <w:p w14:paraId="5ECF7149" w14:textId="77777777" w:rsidR="00887725" w:rsidRPr="00BD763E" w:rsidRDefault="00887725" w:rsidP="00B4274A">
            <w:pPr>
              <w:rPr>
                <w:rFonts w:ascii="Garamond" w:hAnsi="Garamond"/>
                <w:b/>
              </w:rPr>
            </w:pPr>
            <w:r w:rsidRPr="00BD763E">
              <w:rPr>
                <w:rFonts w:ascii="Garamond" w:hAnsi="Garamond"/>
              </w:rPr>
              <w:t xml:space="preserve">Spinoza’s </w:t>
            </w:r>
            <w:r w:rsidRPr="00BD763E">
              <w:rPr>
                <w:rFonts w:ascii="Garamond" w:hAnsi="Garamond"/>
                <w:i/>
              </w:rPr>
              <w:t>Ethics</w:t>
            </w:r>
            <w:r w:rsidRPr="00BD763E">
              <w:rPr>
                <w:rFonts w:ascii="Garamond" w:hAnsi="Garamond"/>
              </w:rPr>
              <w:t>, Part IV Preface, Definitions, Axiom, Propositions 20-25, 30-37, 72 (including scholium) (pp. 31, 64-70, 95-100, 102-112, 152-155, 165- 167, 169-176, 194 in the Shirley edition)</w:t>
            </w:r>
          </w:p>
        </w:tc>
      </w:tr>
      <w:tr w:rsidR="00887725" w:rsidRPr="00BD763E" w14:paraId="2B9201DB" w14:textId="77777777" w:rsidTr="00B4274A">
        <w:tc>
          <w:tcPr>
            <w:tcW w:w="1975" w:type="dxa"/>
          </w:tcPr>
          <w:p w14:paraId="62E200C1" w14:textId="77777777" w:rsidR="00887725" w:rsidRPr="00BD763E" w:rsidRDefault="00887725" w:rsidP="00B4274A">
            <w:pPr>
              <w:rPr>
                <w:rFonts w:ascii="Garamond" w:hAnsi="Garamond"/>
              </w:rPr>
            </w:pPr>
            <w:r w:rsidRPr="00BD763E">
              <w:rPr>
                <w:rFonts w:ascii="Garamond" w:hAnsi="Garamond"/>
                <w:bCs/>
              </w:rPr>
              <w:t>Supp. reading:</w:t>
            </w:r>
          </w:p>
        </w:tc>
        <w:tc>
          <w:tcPr>
            <w:tcW w:w="7375" w:type="dxa"/>
          </w:tcPr>
          <w:p w14:paraId="1343D012" w14:textId="77777777" w:rsidR="00A22D74" w:rsidRPr="00BD763E" w:rsidRDefault="00454017" w:rsidP="00B4274A">
            <w:pPr>
              <w:rPr>
                <w:rFonts w:ascii="Garamond" w:hAnsi="Garamond"/>
              </w:rPr>
            </w:pPr>
            <w:hyperlink r:id="rId29" w:history="1">
              <w:r w:rsidR="00887725" w:rsidRPr="00BD763E">
                <w:rPr>
                  <w:rStyle w:val="Hyperlink"/>
                  <w:rFonts w:ascii="Garamond" w:hAnsi="Garamond"/>
                </w:rPr>
                <w:t xml:space="preserve">Louise M. Anthony, “Good Minus God,” </w:t>
              </w:r>
              <w:r w:rsidR="00887725" w:rsidRPr="00BD763E">
                <w:rPr>
                  <w:rStyle w:val="Hyperlink"/>
                  <w:rFonts w:ascii="Garamond" w:hAnsi="Garamond"/>
                  <w:i/>
                </w:rPr>
                <w:t>The New York Times</w:t>
              </w:r>
              <w:r w:rsidR="00887725" w:rsidRPr="00BD763E">
                <w:rPr>
                  <w:rStyle w:val="Hyperlink"/>
                  <w:rFonts w:ascii="Garamond" w:hAnsi="Garamond"/>
                </w:rPr>
                <w:t>, December 18, 2011.</w:t>
              </w:r>
            </w:hyperlink>
            <w:r w:rsidR="00887725" w:rsidRPr="00BD763E">
              <w:rPr>
                <w:rFonts w:ascii="Garamond" w:hAnsi="Garamond"/>
              </w:rPr>
              <w:t xml:space="preserve"> </w:t>
            </w:r>
          </w:p>
        </w:tc>
      </w:tr>
    </w:tbl>
    <w:p w14:paraId="4E02B1AB" w14:textId="77777777" w:rsidR="00887725" w:rsidRPr="00C32A20" w:rsidRDefault="00887725" w:rsidP="00887725">
      <w:pPr>
        <w:rPr>
          <w:rFonts w:ascii="Garamond" w:hAnsi="Garamond"/>
          <w:b/>
        </w:rPr>
      </w:pPr>
    </w:p>
    <w:p w14:paraId="5866BAD2"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14:paraId="4A168DA2" w14:textId="77777777" w:rsidTr="00B4274A">
        <w:tc>
          <w:tcPr>
            <w:tcW w:w="1975" w:type="dxa"/>
          </w:tcPr>
          <w:p w14:paraId="7819F1FD" w14:textId="751DFD60" w:rsidR="00887725" w:rsidRPr="00C32A20" w:rsidRDefault="000036AC" w:rsidP="00B4274A">
            <w:pPr>
              <w:rPr>
                <w:rFonts w:ascii="Garamond" w:hAnsi="Garamond"/>
                <w:b/>
              </w:rPr>
            </w:pPr>
            <w:r>
              <w:rPr>
                <w:rFonts w:ascii="Garamond" w:hAnsi="Garamond"/>
                <w:b/>
                <w:bCs/>
                <w:szCs w:val="24"/>
              </w:rPr>
              <w:t>Class</w:t>
            </w:r>
          </w:p>
        </w:tc>
        <w:tc>
          <w:tcPr>
            <w:tcW w:w="7375" w:type="dxa"/>
          </w:tcPr>
          <w:p w14:paraId="16655FBD" w14:textId="77777777" w:rsidR="00887725" w:rsidRPr="00C32A20" w:rsidRDefault="00887725" w:rsidP="00B4274A">
            <w:pPr>
              <w:rPr>
                <w:rFonts w:ascii="Garamond" w:hAnsi="Garamond"/>
                <w:b/>
              </w:rPr>
            </w:pPr>
            <w:r>
              <w:rPr>
                <w:rFonts w:ascii="Garamond" w:hAnsi="Garamond"/>
                <w:b/>
              </w:rPr>
              <w:t xml:space="preserve">Life After Death? </w:t>
            </w:r>
          </w:p>
        </w:tc>
      </w:tr>
      <w:tr w:rsidR="00887725" w:rsidRPr="00C32A20" w14:paraId="557D0D73" w14:textId="77777777" w:rsidTr="00B4274A">
        <w:tc>
          <w:tcPr>
            <w:tcW w:w="1975" w:type="dxa"/>
          </w:tcPr>
          <w:p w14:paraId="5E444DA0"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14:paraId="7D62E1CA" w14:textId="77777777" w:rsidR="00887725" w:rsidRPr="00C32A20" w:rsidRDefault="00887725" w:rsidP="00B4274A">
            <w:pPr>
              <w:rPr>
                <w:rFonts w:ascii="Garamond" w:hAnsi="Garamond"/>
                <w:b/>
              </w:rPr>
            </w:pPr>
            <w:proofErr w:type="spellStart"/>
            <w:r w:rsidRPr="00887725">
              <w:rPr>
                <w:rFonts w:ascii="Garamond" w:hAnsi="Garamond"/>
                <w:lang w:val="fr-FR"/>
              </w:rPr>
              <w:t>Spinoza’s</w:t>
            </w:r>
            <w:proofErr w:type="spellEnd"/>
            <w:r w:rsidRPr="00887725">
              <w:rPr>
                <w:rFonts w:ascii="Garamond" w:hAnsi="Garamond"/>
                <w:lang w:val="fr-FR"/>
              </w:rPr>
              <w:t xml:space="preserve"> </w:t>
            </w:r>
            <w:proofErr w:type="spellStart"/>
            <w:r w:rsidRPr="00887725">
              <w:rPr>
                <w:rFonts w:ascii="Garamond" w:hAnsi="Garamond"/>
                <w:i/>
                <w:lang w:val="fr-FR"/>
              </w:rPr>
              <w:t>Ethics</w:t>
            </w:r>
            <w:proofErr w:type="spellEnd"/>
            <w:r w:rsidRPr="00887725">
              <w:rPr>
                <w:rFonts w:ascii="Garamond" w:hAnsi="Garamond"/>
                <w:lang w:val="fr-FR"/>
              </w:rPr>
              <w:t xml:space="preserve">, Part </w:t>
            </w:r>
            <w:r w:rsidRPr="00D420A1">
              <w:rPr>
                <w:rFonts w:ascii="Garamond" w:hAnsi="Garamond"/>
              </w:rPr>
              <w:t>V, Preface, Proposition</w:t>
            </w:r>
            <w:r w:rsidRPr="00887725">
              <w:rPr>
                <w:rFonts w:ascii="Garamond" w:hAnsi="Garamond"/>
                <w:lang w:val="fr-FR"/>
              </w:rPr>
              <w:t xml:space="preserve"> 6, 19-33, 41-42 (pages </w:t>
            </w:r>
            <w:r w:rsidRPr="00C32A20">
              <w:rPr>
                <w:rFonts w:ascii="Garamond" w:hAnsi="Garamond"/>
              </w:rPr>
              <w:t>201-203, 205, 211-218, 222-223 in Shirley edition).</w:t>
            </w:r>
          </w:p>
        </w:tc>
      </w:tr>
      <w:tr w:rsidR="00887725" w:rsidRPr="00C32A20" w14:paraId="337EE5EF" w14:textId="77777777" w:rsidTr="00B4274A">
        <w:tc>
          <w:tcPr>
            <w:tcW w:w="1975" w:type="dxa"/>
          </w:tcPr>
          <w:p w14:paraId="3979D36A"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11B04CCC" w14:textId="77777777" w:rsidR="00887725" w:rsidRPr="00C32A20" w:rsidRDefault="00454017" w:rsidP="00B4274A">
            <w:pPr>
              <w:rPr>
                <w:rFonts w:ascii="Garamond" w:hAnsi="Garamond"/>
                <w:b/>
              </w:rPr>
            </w:pPr>
            <w:hyperlink r:id="rId30" w:history="1">
              <w:r w:rsidR="00887725" w:rsidRPr="00C32A20">
                <w:rPr>
                  <w:rStyle w:val="Hyperlink"/>
                  <w:rFonts w:ascii="Garamond" w:hAnsi="Garamond"/>
                </w:rPr>
                <w:t xml:space="preserve">Samuel Scheffler, “The Importance of the Afterlife. Seriously.” </w:t>
              </w:r>
              <w:r w:rsidR="00887725" w:rsidRPr="002B0255">
                <w:rPr>
                  <w:rStyle w:val="Hyperlink"/>
                  <w:rFonts w:ascii="Garamond" w:hAnsi="Garamond"/>
                  <w:i/>
                </w:rPr>
                <w:t>NYU Law Magazine</w:t>
              </w:r>
              <w:r w:rsidR="00887725" w:rsidRPr="00C32A20">
                <w:rPr>
                  <w:rStyle w:val="Hyperlink"/>
                  <w:rFonts w:ascii="Garamond" w:hAnsi="Garamond"/>
                </w:rPr>
                <w:t>, 2014</w:t>
              </w:r>
            </w:hyperlink>
            <w:r w:rsidR="00887725" w:rsidRPr="00C32A20">
              <w:rPr>
                <w:rFonts w:ascii="Garamond" w:hAnsi="Garamond"/>
              </w:rPr>
              <w:t>.</w:t>
            </w:r>
          </w:p>
        </w:tc>
      </w:tr>
    </w:tbl>
    <w:p w14:paraId="2647C1AA" w14:textId="77777777" w:rsidR="00887725" w:rsidRPr="00C32A20" w:rsidRDefault="00887725" w:rsidP="00887725">
      <w:pPr>
        <w:rPr>
          <w:rFonts w:ascii="Garamond" w:hAnsi="Garamond"/>
          <w:b/>
        </w:rPr>
      </w:pPr>
    </w:p>
    <w:p w14:paraId="29DD674F"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14:paraId="089C1D73" w14:textId="77777777" w:rsidTr="00B4274A">
        <w:tc>
          <w:tcPr>
            <w:tcW w:w="1975" w:type="dxa"/>
          </w:tcPr>
          <w:p w14:paraId="2DD0FF4B" w14:textId="6C4AC44C" w:rsidR="00887725" w:rsidRPr="00C32A20" w:rsidRDefault="000036AC" w:rsidP="00B4274A">
            <w:pPr>
              <w:rPr>
                <w:rFonts w:ascii="Garamond" w:hAnsi="Garamond"/>
                <w:b/>
              </w:rPr>
            </w:pPr>
            <w:r>
              <w:rPr>
                <w:rFonts w:ascii="Garamond" w:hAnsi="Garamond"/>
                <w:b/>
                <w:bCs/>
                <w:szCs w:val="24"/>
              </w:rPr>
              <w:t>Class</w:t>
            </w:r>
          </w:p>
        </w:tc>
        <w:tc>
          <w:tcPr>
            <w:tcW w:w="7375" w:type="dxa"/>
          </w:tcPr>
          <w:p w14:paraId="45DE9F8F" w14:textId="77777777" w:rsidR="00887725" w:rsidRPr="00C32A20" w:rsidRDefault="00887725" w:rsidP="00B4274A">
            <w:pPr>
              <w:rPr>
                <w:rFonts w:ascii="Garamond" w:hAnsi="Garamond"/>
                <w:b/>
              </w:rPr>
            </w:pPr>
            <w:r w:rsidRPr="00C32A20">
              <w:rPr>
                <w:rFonts w:ascii="Garamond" w:hAnsi="Garamond"/>
                <w:b/>
              </w:rPr>
              <w:t xml:space="preserve">Is the Universe Designed? </w:t>
            </w:r>
          </w:p>
        </w:tc>
      </w:tr>
      <w:tr w:rsidR="00887725" w:rsidRPr="00C32A20" w14:paraId="7B5F4408" w14:textId="77777777" w:rsidTr="00B4274A">
        <w:tc>
          <w:tcPr>
            <w:tcW w:w="1975" w:type="dxa"/>
          </w:tcPr>
          <w:p w14:paraId="682278DA"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14:paraId="0D832641" w14:textId="77777777" w:rsidR="00887725" w:rsidRPr="00C32A20" w:rsidRDefault="00887725" w:rsidP="00B4274A">
            <w:pPr>
              <w:rPr>
                <w:rFonts w:ascii="Garamond" w:hAnsi="Garamond"/>
                <w:b/>
              </w:rPr>
            </w:pPr>
            <w:r w:rsidRPr="00C32A20">
              <w:rPr>
                <w:rFonts w:ascii="Garamond" w:hAnsi="Garamond"/>
              </w:rPr>
              <w:t xml:space="preserve">Hume’s </w:t>
            </w:r>
            <w:r w:rsidRPr="00C32A20">
              <w:rPr>
                <w:rFonts w:ascii="Garamond" w:hAnsi="Garamond"/>
                <w:i/>
              </w:rPr>
              <w:t>Dialogues Concerning Natural Religion</w:t>
            </w:r>
            <w:r w:rsidRPr="00C32A20">
              <w:rPr>
                <w:rFonts w:ascii="Garamond" w:hAnsi="Garamond"/>
              </w:rPr>
              <w:t>, Parts I – IV</w:t>
            </w:r>
          </w:p>
        </w:tc>
      </w:tr>
      <w:tr w:rsidR="00887725" w:rsidRPr="00C32A20" w14:paraId="15F51C6F" w14:textId="77777777" w:rsidTr="00B4274A">
        <w:tc>
          <w:tcPr>
            <w:tcW w:w="1975" w:type="dxa"/>
          </w:tcPr>
          <w:p w14:paraId="10C1DE7F"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78815DB7" w14:textId="77777777" w:rsidR="00887725" w:rsidRPr="00C32A20" w:rsidRDefault="00454017" w:rsidP="00B4274A">
            <w:pPr>
              <w:rPr>
                <w:rFonts w:ascii="Garamond" w:hAnsi="Garamond"/>
                <w:b/>
              </w:rPr>
            </w:pPr>
            <w:hyperlink r:id="rId31" w:history="1">
              <w:r w:rsidR="00887725" w:rsidRPr="00C32A20">
                <w:rPr>
                  <w:rStyle w:val="Hyperlink"/>
                  <w:rFonts w:ascii="Garamond" w:hAnsi="Garamond"/>
                </w:rPr>
                <w:t xml:space="preserve">Hans Halvorson, “Fine-Tuning Does Not Imply a Fine Tuner,” </w:t>
              </w:r>
              <w:r w:rsidR="00887725" w:rsidRPr="00C32A20">
                <w:rPr>
                  <w:rStyle w:val="Hyperlink"/>
                  <w:rFonts w:ascii="Garamond" w:hAnsi="Garamond"/>
                  <w:i/>
                </w:rPr>
                <w:t>Nautilus</w:t>
              </w:r>
              <w:r w:rsidR="00887725" w:rsidRPr="00C32A20">
                <w:rPr>
                  <w:rStyle w:val="Hyperlink"/>
                  <w:rFonts w:ascii="Garamond" w:hAnsi="Garamond"/>
                </w:rPr>
                <w:t>, January 2017</w:t>
              </w:r>
            </w:hyperlink>
          </w:p>
        </w:tc>
      </w:tr>
    </w:tbl>
    <w:p w14:paraId="4BED9B11" w14:textId="77777777" w:rsidR="00887725" w:rsidRPr="00C32A20" w:rsidRDefault="00887725" w:rsidP="00887725">
      <w:pPr>
        <w:rPr>
          <w:rFonts w:ascii="Garamond" w:hAnsi="Garamond"/>
          <w:b/>
        </w:rPr>
      </w:pPr>
    </w:p>
    <w:p w14:paraId="7562A893"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1975"/>
        <w:gridCol w:w="7375"/>
      </w:tblGrid>
      <w:tr w:rsidR="00887725" w:rsidRPr="00C32A20" w14:paraId="7D55E304" w14:textId="77777777" w:rsidTr="00B4274A">
        <w:tc>
          <w:tcPr>
            <w:tcW w:w="1975" w:type="dxa"/>
          </w:tcPr>
          <w:p w14:paraId="64EA0197" w14:textId="044D78E7" w:rsidR="00887725" w:rsidRPr="00C32A20" w:rsidRDefault="000036AC" w:rsidP="00B4274A">
            <w:pPr>
              <w:rPr>
                <w:rFonts w:ascii="Garamond" w:hAnsi="Garamond"/>
                <w:b/>
              </w:rPr>
            </w:pPr>
            <w:r>
              <w:rPr>
                <w:rFonts w:ascii="Garamond" w:hAnsi="Garamond"/>
                <w:b/>
                <w:bCs/>
                <w:szCs w:val="24"/>
              </w:rPr>
              <w:t>Class</w:t>
            </w:r>
          </w:p>
        </w:tc>
        <w:tc>
          <w:tcPr>
            <w:tcW w:w="7375" w:type="dxa"/>
          </w:tcPr>
          <w:p w14:paraId="004BF72B" w14:textId="77777777" w:rsidR="00887725" w:rsidRPr="00C32A20" w:rsidRDefault="00887725" w:rsidP="00B4274A">
            <w:pPr>
              <w:rPr>
                <w:rFonts w:ascii="Garamond" w:hAnsi="Garamond"/>
                <w:b/>
              </w:rPr>
            </w:pPr>
            <w:r w:rsidRPr="00C32A20">
              <w:rPr>
                <w:rFonts w:ascii="Garamond" w:hAnsi="Garamond"/>
                <w:b/>
              </w:rPr>
              <w:t>Design without a Designer?</w:t>
            </w:r>
          </w:p>
        </w:tc>
      </w:tr>
      <w:tr w:rsidR="00887725" w:rsidRPr="00AF4B9B" w14:paraId="43542309" w14:textId="77777777" w:rsidTr="00B4274A">
        <w:tc>
          <w:tcPr>
            <w:tcW w:w="1975" w:type="dxa"/>
          </w:tcPr>
          <w:p w14:paraId="62F30BB6" w14:textId="77777777" w:rsidR="00887725" w:rsidRPr="00C32A20" w:rsidRDefault="00887725" w:rsidP="00B4274A">
            <w:pPr>
              <w:rPr>
                <w:rFonts w:ascii="Garamond" w:hAnsi="Garamond"/>
                <w:b/>
              </w:rPr>
            </w:pPr>
            <w:r>
              <w:rPr>
                <w:rFonts w:ascii="Garamond" w:hAnsi="Garamond"/>
              </w:rPr>
              <w:t>Core</w:t>
            </w:r>
            <w:r w:rsidRPr="00C32A20">
              <w:rPr>
                <w:rFonts w:ascii="Garamond" w:hAnsi="Garamond"/>
              </w:rPr>
              <w:t xml:space="preserve"> reading:</w:t>
            </w:r>
          </w:p>
        </w:tc>
        <w:tc>
          <w:tcPr>
            <w:tcW w:w="7375" w:type="dxa"/>
          </w:tcPr>
          <w:p w14:paraId="211525B4" w14:textId="77777777" w:rsidR="00887725" w:rsidRPr="00C32A20" w:rsidRDefault="00887725" w:rsidP="00B4274A">
            <w:pPr>
              <w:rPr>
                <w:rFonts w:ascii="Garamond" w:hAnsi="Garamond"/>
                <w:b/>
                <w:lang w:val="fr-FR"/>
              </w:rPr>
            </w:pPr>
            <w:proofErr w:type="spellStart"/>
            <w:r w:rsidRPr="00C32A20">
              <w:rPr>
                <w:rFonts w:ascii="Garamond" w:hAnsi="Garamond"/>
                <w:lang w:val="fr-FR"/>
              </w:rPr>
              <w:t>Hume’s</w:t>
            </w:r>
            <w:proofErr w:type="spellEnd"/>
            <w:r w:rsidRPr="00C32A20">
              <w:rPr>
                <w:rFonts w:ascii="Garamond" w:hAnsi="Garamond"/>
                <w:lang w:val="fr-FR"/>
              </w:rPr>
              <w:t xml:space="preserve"> </w:t>
            </w:r>
            <w:r w:rsidRPr="00C32A20">
              <w:rPr>
                <w:rFonts w:ascii="Garamond" w:hAnsi="Garamond"/>
                <w:i/>
                <w:lang w:val="fr-FR"/>
              </w:rPr>
              <w:t xml:space="preserve">Dialogues </w:t>
            </w:r>
            <w:proofErr w:type="spellStart"/>
            <w:r w:rsidRPr="00C32A20">
              <w:rPr>
                <w:rFonts w:ascii="Garamond" w:hAnsi="Garamond"/>
                <w:i/>
                <w:lang w:val="fr-FR"/>
              </w:rPr>
              <w:t>Concerning</w:t>
            </w:r>
            <w:proofErr w:type="spellEnd"/>
            <w:r w:rsidRPr="00C32A20">
              <w:rPr>
                <w:rFonts w:ascii="Garamond" w:hAnsi="Garamond"/>
                <w:i/>
                <w:lang w:val="fr-FR"/>
              </w:rPr>
              <w:t xml:space="preserve"> Natural Religion</w:t>
            </w:r>
            <w:r w:rsidRPr="00C32A20">
              <w:rPr>
                <w:rFonts w:ascii="Garamond" w:hAnsi="Garamond"/>
                <w:lang w:val="fr-FR"/>
              </w:rPr>
              <w:t>, Parts V – VIII</w:t>
            </w:r>
          </w:p>
        </w:tc>
      </w:tr>
      <w:tr w:rsidR="002D1CBD" w:rsidRPr="00C32A20" w14:paraId="47B2DEED" w14:textId="77777777" w:rsidTr="00B4274A">
        <w:tc>
          <w:tcPr>
            <w:tcW w:w="1975" w:type="dxa"/>
          </w:tcPr>
          <w:p w14:paraId="0DD0F666" w14:textId="77777777" w:rsidR="002D1CBD" w:rsidRPr="00C32A20" w:rsidRDefault="002D1CBD" w:rsidP="002D1CBD">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248970A3" w14:textId="77777777" w:rsidR="002D1CBD" w:rsidRPr="002D1CBD" w:rsidRDefault="00454017" w:rsidP="002D1CBD">
            <w:pPr>
              <w:rPr>
                <w:rFonts w:ascii="Garamond" w:hAnsi="Garamond"/>
              </w:rPr>
            </w:pPr>
            <w:hyperlink r:id="rId32" w:history="1">
              <w:r w:rsidR="002D1CBD" w:rsidRPr="002D1CBD">
                <w:rPr>
                  <w:rStyle w:val="Hyperlink"/>
                  <w:rFonts w:ascii="Garamond" w:hAnsi="Garamond"/>
                </w:rPr>
                <w:t xml:space="preserve">Mary-Jane Rubenstein, “Cosmic Pantheism,” </w:t>
              </w:r>
              <w:r w:rsidR="002D1CBD" w:rsidRPr="002D1CBD">
                <w:rPr>
                  <w:rStyle w:val="Hyperlink"/>
                  <w:rFonts w:ascii="Garamond" w:hAnsi="Garamond"/>
                  <w:i/>
                </w:rPr>
                <w:t>Nautilus</w:t>
              </w:r>
              <w:r w:rsidR="002D1CBD" w:rsidRPr="002D1CBD">
                <w:rPr>
                  <w:rStyle w:val="Hyperlink"/>
                  <w:rFonts w:ascii="Garamond" w:hAnsi="Garamond"/>
                </w:rPr>
                <w:t>, January 2017</w:t>
              </w:r>
            </w:hyperlink>
            <w:r w:rsidR="002D1CBD" w:rsidRPr="002D1CBD">
              <w:rPr>
                <w:rFonts w:ascii="Garamond" w:hAnsi="Garamond"/>
              </w:rPr>
              <w:t xml:space="preserve">. </w:t>
            </w:r>
          </w:p>
        </w:tc>
      </w:tr>
    </w:tbl>
    <w:p w14:paraId="341F0F67" w14:textId="77777777" w:rsidR="00887725" w:rsidRDefault="00887725" w:rsidP="00887725">
      <w:pPr>
        <w:rPr>
          <w:rFonts w:ascii="Garamond" w:hAnsi="Garamond"/>
          <w:color w:val="FF0000"/>
        </w:rPr>
      </w:pPr>
    </w:p>
    <w:p w14:paraId="269EAC13" w14:textId="77777777" w:rsidR="00887725" w:rsidRPr="00C32A20" w:rsidRDefault="00887725" w:rsidP="00887725">
      <w:pPr>
        <w:rPr>
          <w:rFonts w:ascii="Garamond" w:hAnsi="Garamond"/>
          <w:color w:val="FF0000"/>
        </w:rPr>
      </w:pPr>
    </w:p>
    <w:tbl>
      <w:tblPr>
        <w:tblStyle w:val="TableGrid"/>
        <w:tblW w:w="0" w:type="auto"/>
        <w:tblLook w:val="04A0" w:firstRow="1" w:lastRow="0" w:firstColumn="1" w:lastColumn="0" w:noHBand="0" w:noVBand="1"/>
      </w:tblPr>
      <w:tblGrid>
        <w:gridCol w:w="1975"/>
        <w:gridCol w:w="7375"/>
      </w:tblGrid>
      <w:tr w:rsidR="00887725" w:rsidRPr="00C32A20" w14:paraId="145CCD18" w14:textId="77777777" w:rsidTr="009838C1">
        <w:tc>
          <w:tcPr>
            <w:tcW w:w="1975" w:type="dxa"/>
          </w:tcPr>
          <w:p w14:paraId="303C1D96" w14:textId="1D1F2975" w:rsidR="00887725" w:rsidRPr="00C32A20" w:rsidRDefault="000036AC" w:rsidP="00B4274A">
            <w:pPr>
              <w:rPr>
                <w:rFonts w:ascii="Garamond" w:hAnsi="Garamond"/>
                <w:b/>
              </w:rPr>
            </w:pPr>
            <w:r>
              <w:rPr>
                <w:rFonts w:ascii="Garamond" w:hAnsi="Garamond"/>
                <w:b/>
                <w:bCs/>
                <w:szCs w:val="24"/>
              </w:rPr>
              <w:t>Class</w:t>
            </w:r>
          </w:p>
        </w:tc>
        <w:tc>
          <w:tcPr>
            <w:tcW w:w="7375" w:type="dxa"/>
          </w:tcPr>
          <w:p w14:paraId="0D47BE50" w14:textId="77777777" w:rsidR="00887725" w:rsidRPr="00C32A20" w:rsidRDefault="00887725" w:rsidP="00B4274A">
            <w:pPr>
              <w:rPr>
                <w:rFonts w:ascii="Garamond" w:hAnsi="Garamond"/>
                <w:b/>
              </w:rPr>
            </w:pPr>
            <w:r w:rsidRPr="00C32A20">
              <w:rPr>
                <w:rFonts w:ascii="Garamond" w:hAnsi="Garamond"/>
                <w:b/>
              </w:rPr>
              <w:t>True Religion?</w:t>
            </w:r>
          </w:p>
        </w:tc>
      </w:tr>
      <w:tr w:rsidR="00887725" w:rsidRPr="00AF4B9B" w14:paraId="7710E953" w14:textId="77777777" w:rsidTr="009838C1">
        <w:tc>
          <w:tcPr>
            <w:tcW w:w="1975" w:type="dxa"/>
          </w:tcPr>
          <w:p w14:paraId="4734D6E1"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14:paraId="51244250" w14:textId="77777777" w:rsidR="00887725" w:rsidRPr="00C32A20" w:rsidRDefault="00887725" w:rsidP="00B4274A">
            <w:pPr>
              <w:rPr>
                <w:rFonts w:ascii="Garamond" w:hAnsi="Garamond"/>
                <w:b/>
                <w:lang w:val="fr-FR"/>
              </w:rPr>
            </w:pPr>
            <w:proofErr w:type="spellStart"/>
            <w:r w:rsidRPr="00C32A20">
              <w:rPr>
                <w:rFonts w:ascii="Garamond" w:hAnsi="Garamond"/>
                <w:lang w:val="fr-FR"/>
              </w:rPr>
              <w:t>Hume’s</w:t>
            </w:r>
            <w:proofErr w:type="spellEnd"/>
            <w:r w:rsidRPr="00C32A20">
              <w:rPr>
                <w:rFonts w:ascii="Garamond" w:hAnsi="Garamond"/>
                <w:lang w:val="fr-FR"/>
              </w:rPr>
              <w:t xml:space="preserve"> </w:t>
            </w:r>
            <w:r w:rsidRPr="00C32A20">
              <w:rPr>
                <w:rFonts w:ascii="Garamond" w:hAnsi="Garamond"/>
                <w:i/>
                <w:lang w:val="fr-FR"/>
              </w:rPr>
              <w:t xml:space="preserve">Dialogues </w:t>
            </w:r>
            <w:proofErr w:type="spellStart"/>
            <w:r w:rsidRPr="00C32A20">
              <w:rPr>
                <w:rFonts w:ascii="Garamond" w:hAnsi="Garamond"/>
                <w:i/>
                <w:lang w:val="fr-FR"/>
              </w:rPr>
              <w:t>Concerning</w:t>
            </w:r>
            <w:proofErr w:type="spellEnd"/>
            <w:r w:rsidRPr="00C32A20">
              <w:rPr>
                <w:rFonts w:ascii="Garamond" w:hAnsi="Garamond"/>
                <w:i/>
                <w:lang w:val="fr-FR"/>
              </w:rPr>
              <w:t xml:space="preserve"> Natural Religion</w:t>
            </w:r>
            <w:r w:rsidRPr="00C32A20">
              <w:rPr>
                <w:rFonts w:ascii="Garamond" w:hAnsi="Garamond"/>
                <w:lang w:val="fr-FR"/>
              </w:rPr>
              <w:t>, Parts IX – XII</w:t>
            </w:r>
          </w:p>
        </w:tc>
      </w:tr>
      <w:tr w:rsidR="00887725" w:rsidRPr="00C32A20" w14:paraId="0248EA38" w14:textId="77777777" w:rsidTr="009838C1">
        <w:tc>
          <w:tcPr>
            <w:tcW w:w="1975" w:type="dxa"/>
          </w:tcPr>
          <w:p w14:paraId="5ED4156E"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0946F59B" w14:textId="77777777" w:rsidR="00887725" w:rsidRPr="00C32A20" w:rsidRDefault="00454017" w:rsidP="00B4274A">
            <w:pPr>
              <w:rPr>
                <w:rFonts w:ascii="Garamond" w:hAnsi="Garamond"/>
                <w:b/>
              </w:rPr>
            </w:pPr>
            <w:hyperlink r:id="rId33" w:history="1">
              <w:r w:rsidR="00A67487" w:rsidRPr="00BA2050">
                <w:rPr>
                  <w:rStyle w:val="Hyperlink"/>
                  <w:rFonts w:ascii="Garamond" w:hAnsi="Garamond"/>
                </w:rPr>
                <w:t xml:space="preserve">Marilyn McCord Adams’s, “Horrendous Evils and the Goodness of God,” </w:t>
              </w:r>
              <w:r w:rsidR="00A67487" w:rsidRPr="00BA2050">
                <w:rPr>
                  <w:rStyle w:val="Hyperlink"/>
                  <w:rFonts w:ascii="Garamond" w:hAnsi="Garamond"/>
                  <w:i/>
                </w:rPr>
                <w:t>Philosophy of Religion: The Big Questions</w:t>
              </w:r>
              <w:r w:rsidR="00A67487" w:rsidRPr="00BA2050">
                <w:rPr>
                  <w:rStyle w:val="Hyperlink"/>
                  <w:rFonts w:ascii="Garamond" w:hAnsi="Garamond"/>
                </w:rPr>
                <w:t>, eds. Eleonore Stump and Michael J. Murray, pages 250-257</w:t>
              </w:r>
            </w:hyperlink>
            <w:r w:rsidR="00A67487">
              <w:rPr>
                <w:rFonts w:ascii="Garamond" w:hAnsi="Garamond"/>
              </w:rPr>
              <w:t>.</w:t>
            </w:r>
          </w:p>
        </w:tc>
      </w:tr>
      <w:tr w:rsidR="00024753" w:rsidRPr="00C32A20" w14:paraId="5AB14695" w14:textId="77777777" w:rsidTr="009838C1">
        <w:tc>
          <w:tcPr>
            <w:tcW w:w="1975" w:type="dxa"/>
          </w:tcPr>
          <w:p w14:paraId="424E0E95" w14:textId="3575287A" w:rsidR="00024753" w:rsidRPr="00C32A20" w:rsidRDefault="00024753" w:rsidP="00B4274A">
            <w:pPr>
              <w:rPr>
                <w:rFonts w:ascii="Garamond" w:hAnsi="Garamond"/>
              </w:rPr>
            </w:pPr>
            <w:r>
              <w:rPr>
                <w:rFonts w:ascii="Garamond" w:hAnsi="Garamond"/>
              </w:rPr>
              <w:t>Optional:</w:t>
            </w:r>
          </w:p>
        </w:tc>
        <w:tc>
          <w:tcPr>
            <w:tcW w:w="7375" w:type="dxa"/>
          </w:tcPr>
          <w:p w14:paraId="4EA2E829" w14:textId="6434D597" w:rsidR="00024753" w:rsidRPr="001841B5" w:rsidRDefault="00024753" w:rsidP="00B4274A">
            <w:pPr>
              <w:rPr>
                <w:rFonts w:ascii="Garamond" w:hAnsi="Garamond"/>
              </w:rPr>
            </w:pPr>
            <w:hyperlink r:id="rId34" w:history="1">
              <w:r w:rsidRPr="003C5E96">
                <w:rPr>
                  <w:rStyle w:val="Hyperlink"/>
                  <w:rFonts w:ascii="Garamond" w:hAnsi="Garamond"/>
                </w:rPr>
                <w:t xml:space="preserve">Tara Isabella Burton, “’Spiritual but not religious’: Inside America’s Rapidly Growing Faith Group,” </w:t>
              </w:r>
              <w:r w:rsidRPr="003C5E96">
                <w:rPr>
                  <w:rStyle w:val="Hyperlink"/>
                  <w:rFonts w:ascii="Garamond" w:hAnsi="Garamond"/>
                  <w:i/>
                </w:rPr>
                <w:t>Vox</w:t>
              </w:r>
              <w:r w:rsidRPr="003C5E96">
                <w:rPr>
                  <w:rStyle w:val="Hyperlink"/>
                  <w:rFonts w:ascii="Garamond" w:hAnsi="Garamond"/>
                </w:rPr>
                <w:t>, November 10, 2017</w:t>
              </w:r>
            </w:hyperlink>
            <w:r w:rsidRPr="003C5E96">
              <w:rPr>
                <w:rFonts w:ascii="Garamond" w:hAnsi="Garamond"/>
              </w:rPr>
              <w:t>.</w:t>
            </w:r>
          </w:p>
        </w:tc>
      </w:tr>
    </w:tbl>
    <w:p w14:paraId="2D90A898" w14:textId="51F4F78A" w:rsidR="008A410F" w:rsidRDefault="008A410F" w:rsidP="008A410F">
      <w:pPr>
        <w:rPr>
          <w:rFonts w:ascii="Garamond" w:hAnsi="Garamond"/>
          <w:b/>
        </w:rPr>
      </w:pPr>
    </w:p>
    <w:p w14:paraId="3DC95927" w14:textId="77777777" w:rsidR="000036AC" w:rsidRPr="00C32A20" w:rsidRDefault="000036AC" w:rsidP="008A410F">
      <w:pPr>
        <w:rPr>
          <w:rFonts w:ascii="Garamond" w:hAnsi="Garamond"/>
          <w:b/>
        </w:rPr>
      </w:pPr>
    </w:p>
    <w:tbl>
      <w:tblPr>
        <w:tblStyle w:val="TableGrid"/>
        <w:tblW w:w="0" w:type="auto"/>
        <w:tblLook w:val="04A0" w:firstRow="1" w:lastRow="0" w:firstColumn="1" w:lastColumn="0" w:noHBand="0" w:noVBand="1"/>
      </w:tblPr>
      <w:tblGrid>
        <w:gridCol w:w="1975"/>
        <w:gridCol w:w="7375"/>
      </w:tblGrid>
      <w:tr w:rsidR="008A410F" w:rsidRPr="00C32A20" w14:paraId="56EC2BCD" w14:textId="77777777" w:rsidTr="00694BEC">
        <w:tc>
          <w:tcPr>
            <w:tcW w:w="1975" w:type="dxa"/>
          </w:tcPr>
          <w:p w14:paraId="21A0A16B" w14:textId="457D6704" w:rsidR="008A410F" w:rsidRPr="00C32A20" w:rsidRDefault="000036AC" w:rsidP="00694BEC">
            <w:pPr>
              <w:rPr>
                <w:rFonts w:ascii="Garamond" w:hAnsi="Garamond"/>
                <w:b/>
              </w:rPr>
            </w:pPr>
            <w:r>
              <w:rPr>
                <w:rFonts w:ascii="Garamond" w:hAnsi="Garamond"/>
                <w:b/>
                <w:bCs/>
                <w:szCs w:val="24"/>
              </w:rPr>
              <w:t>Class</w:t>
            </w:r>
          </w:p>
        </w:tc>
        <w:tc>
          <w:tcPr>
            <w:tcW w:w="7375" w:type="dxa"/>
          </w:tcPr>
          <w:p w14:paraId="2A5D4350" w14:textId="77777777" w:rsidR="008A410F" w:rsidRPr="00C32A20" w:rsidRDefault="008A410F" w:rsidP="00694BEC">
            <w:pPr>
              <w:rPr>
                <w:rFonts w:ascii="Garamond" w:hAnsi="Garamond"/>
                <w:b/>
              </w:rPr>
            </w:pPr>
            <w:r w:rsidRPr="00C32A20">
              <w:rPr>
                <w:rFonts w:ascii="Garamond" w:hAnsi="Garamond"/>
                <w:b/>
              </w:rPr>
              <w:t>Is Religion Useful?</w:t>
            </w:r>
          </w:p>
        </w:tc>
      </w:tr>
      <w:tr w:rsidR="008A410F" w:rsidRPr="00C32A20" w14:paraId="59B2D36F" w14:textId="77777777" w:rsidTr="00694BEC">
        <w:tc>
          <w:tcPr>
            <w:tcW w:w="1975" w:type="dxa"/>
          </w:tcPr>
          <w:p w14:paraId="3D594C36" w14:textId="77777777" w:rsidR="008A410F" w:rsidRPr="00C32A20" w:rsidRDefault="008A410F" w:rsidP="00694BEC">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14:paraId="25CD8D4F" w14:textId="77777777" w:rsidR="008A410F" w:rsidRPr="00C32A20" w:rsidRDefault="008A410F" w:rsidP="00694BEC">
            <w:pPr>
              <w:rPr>
                <w:rFonts w:ascii="Garamond" w:hAnsi="Garamond"/>
                <w:b/>
              </w:rPr>
            </w:pPr>
            <w:r w:rsidRPr="00E33B3A">
              <w:rPr>
                <w:rFonts w:ascii="Garamond" w:hAnsi="Garamond"/>
              </w:rPr>
              <w:t>Mill,</w:t>
            </w:r>
            <w:r>
              <w:rPr>
                <w:rFonts w:ascii="Garamond" w:hAnsi="Garamond"/>
                <w:i/>
              </w:rPr>
              <w:t xml:space="preserve"> </w:t>
            </w:r>
            <w:r w:rsidRPr="00C32A20">
              <w:rPr>
                <w:rFonts w:ascii="Garamond" w:hAnsi="Garamond"/>
                <w:i/>
              </w:rPr>
              <w:t>The Utility of Religion</w:t>
            </w:r>
            <w:r w:rsidRPr="00C32A20">
              <w:rPr>
                <w:rFonts w:ascii="Garamond" w:hAnsi="Garamond"/>
              </w:rPr>
              <w:t xml:space="preserve">, available online at: </w:t>
            </w:r>
            <w:hyperlink r:id="rId35" w:history="1">
              <w:r w:rsidRPr="00C32A20">
                <w:rPr>
                  <w:rStyle w:val="Hyperlink"/>
                  <w:rFonts w:ascii="Garamond" w:hAnsi="Garamond"/>
                </w:rPr>
                <w:t>https://www.laits.utexas.edu/poltheory/mill/three/utilrelig.html</w:t>
              </w:r>
            </w:hyperlink>
          </w:p>
        </w:tc>
      </w:tr>
      <w:tr w:rsidR="008A410F" w:rsidRPr="00C32A20" w14:paraId="04ED2F7C" w14:textId="77777777" w:rsidTr="00694BEC">
        <w:tc>
          <w:tcPr>
            <w:tcW w:w="1975" w:type="dxa"/>
          </w:tcPr>
          <w:p w14:paraId="3C662AF5" w14:textId="77777777" w:rsidR="008A410F" w:rsidRPr="00C32A20" w:rsidRDefault="008A410F" w:rsidP="00694BEC">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368AC67B" w14:textId="77777777" w:rsidR="002D1CBD" w:rsidRPr="003C5E96" w:rsidRDefault="00454017" w:rsidP="00694BEC">
            <w:pPr>
              <w:rPr>
                <w:rFonts w:ascii="Garamond" w:hAnsi="Garamond"/>
              </w:rPr>
            </w:pPr>
            <w:hyperlink r:id="rId36" w:history="1">
              <w:r w:rsidR="002D1CBD" w:rsidRPr="00C32A20">
                <w:rPr>
                  <w:rStyle w:val="Hyperlink"/>
                  <w:rFonts w:ascii="Garamond" w:hAnsi="Garamond"/>
                </w:rPr>
                <w:t xml:space="preserve">Thomas Nagel, “A Philosopher Defends Religion,” </w:t>
              </w:r>
              <w:r w:rsidR="002D1CBD" w:rsidRPr="00C32A20">
                <w:rPr>
                  <w:rStyle w:val="Hyperlink"/>
                  <w:rFonts w:ascii="Garamond" w:hAnsi="Garamond"/>
                  <w:i/>
                </w:rPr>
                <w:t>The New York Review of Books</w:t>
              </w:r>
              <w:r w:rsidR="002D1CBD" w:rsidRPr="00C32A20">
                <w:rPr>
                  <w:rStyle w:val="Hyperlink"/>
                  <w:rFonts w:ascii="Garamond" w:hAnsi="Garamond"/>
                </w:rPr>
                <w:t>, September 27, 2012</w:t>
              </w:r>
            </w:hyperlink>
            <w:r w:rsidR="002D1CBD" w:rsidRPr="00C32A20">
              <w:rPr>
                <w:rFonts w:ascii="Garamond" w:hAnsi="Garamond"/>
              </w:rPr>
              <w:t>.</w:t>
            </w:r>
          </w:p>
        </w:tc>
      </w:tr>
      <w:tr w:rsidR="008A410F" w:rsidRPr="00C32A20" w14:paraId="43D48928" w14:textId="77777777" w:rsidTr="00694BEC">
        <w:tc>
          <w:tcPr>
            <w:tcW w:w="1975" w:type="dxa"/>
          </w:tcPr>
          <w:p w14:paraId="1A435083" w14:textId="77777777" w:rsidR="008A410F" w:rsidRPr="00C32A20" w:rsidRDefault="008A410F" w:rsidP="00694BEC">
            <w:pPr>
              <w:rPr>
                <w:rFonts w:ascii="Garamond" w:hAnsi="Garamond"/>
                <w:bCs/>
              </w:rPr>
            </w:pPr>
            <w:r>
              <w:rPr>
                <w:rFonts w:ascii="Garamond" w:hAnsi="Garamond"/>
                <w:bCs/>
              </w:rPr>
              <w:t>O</w:t>
            </w:r>
            <w:r>
              <w:rPr>
                <w:bCs/>
              </w:rPr>
              <w:t>ptional:</w:t>
            </w:r>
          </w:p>
        </w:tc>
        <w:tc>
          <w:tcPr>
            <w:tcW w:w="7375" w:type="dxa"/>
          </w:tcPr>
          <w:p w14:paraId="2374685D" w14:textId="77777777" w:rsidR="008A410F" w:rsidRPr="002D1CBD" w:rsidRDefault="00454017" w:rsidP="00694BEC">
            <w:pPr>
              <w:rPr>
                <w:rStyle w:val="Hyperlink"/>
                <w:rFonts w:ascii="Garamond" w:hAnsi="Garamond"/>
                <w:color w:val="auto"/>
                <w:u w:val="none"/>
              </w:rPr>
            </w:pPr>
            <w:hyperlink r:id="rId37" w:history="1">
              <w:r w:rsidR="002D1CBD" w:rsidRPr="003C5E96">
                <w:rPr>
                  <w:rStyle w:val="Hyperlink"/>
                  <w:rFonts w:ascii="Garamond" w:hAnsi="Garamond"/>
                </w:rPr>
                <w:t xml:space="preserve">Greg M. Epstein, “Introduction” </w:t>
              </w:r>
              <w:proofErr w:type="spellStart"/>
              <w:r w:rsidR="002D1CBD" w:rsidRPr="003C5E96">
                <w:rPr>
                  <w:rStyle w:val="Hyperlink"/>
                  <w:rFonts w:ascii="Garamond" w:hAnsi="Garamond"/>
                </w:rPr>
                <w:t>to</w:t>
              </w:r>
              <w:proofErr w:type="spellEnd"/>
              <w:r w:rsidR="002D1CBD" w:rsidRPr="003C5E96">
                <w:rPr>
                  <w:rStyle w:val="Hyperlink"/>
                  <w:rFonts w:ascii="Garamond" w:hAnsi="Garamond"/>
                </w:rPr>
                <w:t xml:space="preserve"> </w:t>
              </w:r>
              <w:r w:rsidR="002D1CBD" w:rsidRPr="003C5E96">
                <w:rPr>
                  <w:rStyle w:val="Hyperlink"/>
                  <w:rFonts w:ascii="Garamond" w:hAnsi="Garamond"/>
                  <w:i/>
                </w:rPr>
                <w:t>Good without God: What a Billion Nonreligious People Do Believe</w:t>
              </w:r>
              <w:r w:rsidR="002D1CBD" w:rsidRPr="003C5E96">
                <w:rPr>
                  <w:rStyle w:val="Hyperlink"/>
                  <w:rFonts w:ascii="Garamond" w:hAnsi="Garamond"/>
                </w:rPr>
                <w:t xml:space="preserve"> (</w:t>
              </w:r>
              <w:proofErr w:type="spellStart"/>
              <w:r w:rsidR="002D1CBD" w:rsidRPr="003C5E96">
                <w:rPr>
                  <w:rStyle w:val="Hyperlink"/>
                  <w:rFonts w:ascii="Garamond" w:hAnsi="Garamond"/>
                </w:rPr>
                <w:t>HaperCollins</w:t>
              </w:r>
              <w:proofErr w:type="spellEnd"/>
              <w:r w:rsidR="002D1CBD" w:rsidRPr="003C5E96">
                <w:rPr>
                  <w:rStyle w:val="Hyperlink"/>
                  <w:rFonts w:ascii="Garamond" w:hAnsi="Garamond"/>
                </w:rPr>
                <w:t xml:space="preserve"> 2010).</w:t>
              </w:r>
            </w:hyperlink>
            <w:r w:rsidR="002D1CBD" w:rsidRPr="003C5E96">
              <w:rPr>
                <w:rFonts w:ascii="Garamond" w:hAnsi="Garamond"/>
              </w:rPr>
              <w:t xml:space="preserve"> </w:t>
            </w:r>
          </w:p>
        </w:tc>
      </w:tr>
    </w:tbl>
    <w:p w14:paraId="4B9EA769" w14:textId="77777777" w:rsidR="00887725" w:rsidRDefault="00887725" w:rsidP="00887725">
      <w:pPr>
        <w:rPr>
          <w:rFonts w:ascii="Garamond" w:hAnsi="Garamond"/>
        </w:rPr>
      </w:pPr>
    </w:p>
    <w:p w14:paraId="208945DB" w14:textId="77777777" w:rsidR="00883D2B" w:rsidRPr="00C32A20" w:rsidRDefault="00883D2B"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14:paraId="69B4BDB3" w14:textId="77777777" w:rsidTr="009838C1">
        <w:tc>
          <w:tcPr>
            <w:tcW w:w="1975" w:type="dxa"/>
          </w:tcPr>
          <w:p w14:paraId="4D49ACD0" w14:textId="69321013" w:rsidR="00887725" w:rsidRPr="00C32A20" w:rsidRDefault="000036AC" w:rsidP="00B4274A">
            <w:pPr>
              <w:rPr>
                <w:rFonts w:ascii="Garamond" w:hAnsi="Garamond"/>
                <w:b/>
              </w:rPr>
            </w:pPr>
            <w:r>
              <w:rPr>
                <w:rFonts w:ascii="Garamond" w:hAnsi="Garamond"/>
                <w:b/>
                <w:bCs/>
                <w:szCs w:val="24"/>
              </w:rPr>
              <w:t>Class</w:t>
            </w:r>
          </w:p>
        </w:tc>
        <w:tc>
          <w:tcPr>
            <w:tcW w:w="7375" w:type="dxa"/>
          </w:tcPr>
          <w:p w14:paraId="1E7781A1" w14:textId="77777777" w:rsidR="00887725" w:rsidRPr="00C32A20" w:rsidRDefault="00887725" w:rsidP="00B4274A">
            <w:pPr>
              <w:rPr>
                <w:rFonts w:ascii="Garamond" w:hAnsi="Garamond"/>
                <w:b/>
              </w:rPr>
            </w:pPr>
            <w:r w:rsidRPr="00C32A20">
              <w:rPr>
                <w:rFonts w:ascii="Garamond" w:hAnsi="Garamond"/>
                <w:b/>
              </w:rPr>
              <w:t xml:space="preserve">What do “Good,” “Bad” and “Evil” Mean? </w:t>
            </w:r>
          </w:p>
        </w:tc>
      </w:tr>
      <w:tr w:rsidR="00887725" w:rsidRPr="00C32A20" w14:paraId="3137EAE5" w14:textId="77777777" w:rsidTr="009838C1">
        <w:tc>
          <w:tcPr>
            <w:tcW w:w="1975" w:type="dxa"/>
          </w:tcPr>
          <w:p w14:paraId="55DE6F6A" w14:textId="77777777" w:rsidR="00887725" w:rsidRPr="00C32A20" w:rsidRDefault="00887725" w:rsidP="00B4274A">
            <w:pPr>
              <w:rPr>
                <w:rFonts w:ascii="Garamond" w:hAnsi="Garamond"/>
              </w:rPr>
            </w:pPr>
            <w:r w:rsidRPr="00C32A20">
              <w:rPr>
                <w:rFonts w:ascii="Garamond" w:hAnsi="Garamond"/>
                <w:bCs/>
              </w:rPr>
              <w:t xml:space="preserve">Core </w:t>
            </w:r>
            <w:r w:rsidRPr="00C32A20">
              <w:rPr>
                <w:rFonts w:ascii="Garamond" w:hAnsi="Garamond"/>
              </w:rPr>
              <w:t>reading:</w:t>
            </w:r>
          </w:p>
        </w:tc>
        <w:tc>
          <w:tcPr>
            <w:tcW w:w="7375" w:type="dxa"/>
          </w:tcPr>
          <w:p w14:paraId="51652B38" w14:textId="77777777" w:rsidR="00887725" w:rsidRPr="00C32A20" w:rsidRDefault="00887725" w:rsidP="00B4274A">
            <w:pPr>
              <w:rPr>
                <w:rFonts w:ascii="Garamond" w:hAnsi="Garamond"/>
                <w:color w:val="FF0000"/>
              </w:rPr>
            </w:pPr>
            <w:r>
              <w:rPr>
                <w:rFonts w:ascii="Garamond" w:hAnsi="Garamond"/>
              </w:rPr>
              <w:t xml:space="preserve">Nietzsche, </w:t>
            </w:r>
            <w:r w:rsidRPr="00C32A20">
              <w:rPr>
                <w:rFonts w:ascii="Garamond" w:hAnsi="Garamond"/>
                <w:i/>
              </w:rPr>
              <w:t>First Treatise: “Good and Evil,” “Good and Bad”</w:t>
            </w:r>
            <w:r w:rsidRPr="00C32A20">
              <w:rPr>
                <w:rFonts w:ascii="Garamond" w:hAnsi="Garamond"/>
              </w:rPr>
              <w:t xml:space="preserve"> (pages 9-33 in Clark and Swensen translation)</w:t>
            </w:r>
          </w:p>
        </w:tc>
      </w:tr>
      <w:tr w:rsidR="00887725" w:rsidRPr="00C32A20" w14:paraId="4E5B9AA0" w14:textId="77777777" w:rsidTr="009838C1">
        <w:tc>
          <w:tcPr>
            <w:tcW w:w="1975" w:type="dxa"/>
          </w:tcPr>
          <w:p w14:paraId="493B2E14"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7E639BC4" w14:textId="77777777" w:rsidR="00887725" w:rsidRPr="00C32A20" w:rsidRDefault="00454017" w:rsidP="00B4274A">
            <w:pPr>
              <w:rPr>
                <w:rFonts w:ascii="Garamond" w:hAnsi="Garamond"/>
                <w:b/>
              </w:rPr>
            </w:pPr>
            <w:hyperlink r:id="rId38" w:history="1">
              <w:r w:rsidR="00887725" w:rsidRPr="00C32A20">
                <w:rPr>
                  <w:rStyle w:val="Hyperlink"/>
                  <w:rFonts w:ascii="Garamond" w:hAnsi="Garamond"/>
                </w:rPr>
                <w:t xml:space="preserve">Sue </w:t>
              </w:r>
              <w:proofErr w:type="spellStart"/>
              <w:r w:rsidR="00887725" w:rsidRPr="00C32A20">
                <w:rPr>
                  <w:rStyle w:val="Hyperlink"/>
                  <w:rFonts w:ascii="Garamond" w:hAnsi="Garamond"/>
                </w:rPr>
                <w:t>Prideaux</w:t>
              </w:r>
              <w:proofErr w:type="spellEnd"/>
              <w:r w:rsidR="00887725" w:rsidRPr="00C32A20">
                <w:rPr>
                  <w:rStyle w:val="Hyperlink"/>
                  <w:rFonts w:ascii="Garamond" w:hAnsi="Garamond"/>
                </w:rPr>
                <w:t xml:space="preserve">, “Far right, misogynist, </w:t>
              </w:r>
              <w:proofErr w:type="spellStart"/>
              <w:r w:rsidR="00887725" w:rsidRPr="00C32A20">
                <w:rPr>
                  <w:rStyle w:val="Hyperlink"/>
                  <w:rFonts w:ascii="Garamond" w:hAnsi="Garamond"/>
                </w:rPr>
                <w:t>humourless</w:t>
              </w:r>
              <w:proofErr w:type="spellEnd"/>
              <w:r w:rsidR="00887725" w:rsidRPr="00C32A20">
                <w:rPr>
                  <w:rStyle w:val="Hyperlink"/>
                  <w:rFonts w:ascii="Garamond" w:hAnsi="Garamond"/>
                </w:rPr>
                <w:t xml:space="preserve">? Why Nietzsche is Misunderstood,” </w:t>
              </w:r>
              <w:r w:rsidR="00887725" w:rsidRPr="00C32A20">
                <w:rPr>
                  <w:rStyle w:val="Hyperlink"/>
                  <w:rFonts w:ascii="Garamond" w:hAnsi="Garamond"/>
                  <w:i/>
                </w:rPr>
                <w:t>The Guardian</w:t>
              </w:r>
              <w:r w:rsidR="00887725" w:rsidRPr="00C32A20">
                <w:rPr>
                  <w:rStyle w:val="Hyperlink"/>
                  <w:rFonts w:ascii="Garamond" w:hAnsi="Garamond"/>
                </w:rPr>
                <w:t>, October 6, 2018</w:t>
              </w:r>
            </w:hyperlink>
          </w:p>
        </w:tc>
      </w:tr>
    </w:tbl>
    <w:p w14:paraId="0C2F833B" w14:textId="77777777" w:rsidR="00887725" w:rsidRPr="00C32A20" w:rsidRDefault="00887725" w:rsidP="00887725">
      <w:pPr>
        <w:rPr>
          <w:rFonts w:ascii="Garamond" w:hAnsi="Garamond"/>
          <w:b/>
        </w:rPr>
      </w:pPr>
    </w:p>
    <w:p w14:paraId="15CA146D" w14:textId="77777777"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14:paraId="3B0088A7" w14:textId="77777777" w:rsidTr="009838C1">
        <w:tc>
          <w:tcPr>
            <w:tcW w:w="1975" w:type="dxa"/>
          </w:tcPr>
          <w:p w14:paraId="047E5099" w14:textId="458C607C" w:rsidR="00887725" w:rsidRPr="00C32A20" w:rsidRDefault="000036AC" w:rsidP="00B4274A">
            <w:pPr>
              <w:rPr>
                <w:rFonts w:ascii="Garamond" w:hAnsi="Garamond"/>
                <w:b/>
              </w:rPr>
            </w:pPr>
            <w:r>
              <w:rPr>
                <w:rFonts w:ascii="Garamond" w:hAnsi="Garamond"/>
                <w:b/>
                <w:bCs/>
                <w:szCs w:val="24"/>
              </w:rPr>
              <w:t>Class</w:t>
            </w:r>
          </w:p>
        </w:tc>
        <w:tc>
          <w:tcPr>
            <w:tcW w:w="7375" w:type="dxa"/>
          </w:tcPr>
          <w:p w14:paraId="7CE6BD7E" w14:textId="77777777" w:rsidR="00887725" w:rsidRPr="00C32A20" w:rsidRDefault="00887725" w:rsidP="00B4274A">
            <w:pPr>
              <w:rPr>
                <w:rFonts w:ascii="Garamond" w:hAnsi="Garamond"/>
                <w:b/>
              </w:rPr>
            </w:pPr>
            <w:r w:rsidRPr="00C32A20">
              <w:rPr>
                <w:rFonts w:ascii="Garamond" w:hAnsi="Garamond"/>
                <w:b/>
              </w:rPr>
              <w:t>Whence Conscience, Bad Conscience</w:t>
            </w:r>
            <w:r w:rsidR="00C074A8">
              <w:rPr>
                <w:rFonts w:ascii="Garamond" w:hAnsi="Garamond"/>
                <w:b/>
              </w:rPr>
              <w:t>,</w:t>
            </w:r>
            <w:r w:rsidRPr="00C32A20">
              <w:rPr>
                <w:rFonts w:ascii="Garamond" w:hAnsi="Garamond"/>
                <w:b/>
              </w:rPr>
              <w:t xml:space="preserve"> and Guilt?</w:t>
            </w:r>
          </w:p>
        </w:tc>
      </w:tr>
      <w:tr w:rsidR="00887725" w:rsidRPr="00C32A20" w14:paraId="47938C32" w14:textId="77777777" w:rsidTr="009838C1">
        <w:tc>
          <w:tcPr>
            <w:tcW w:w="1975" w:type="dxa"/>
          </w:tcPr>
          <w:p w14:paraId="1E874E81"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375" w:type="dxa"/>
          </w:tcPr>
          <w:p w14:paraId="47DB6A8D" w14:textId="77777777" w:rsidR="00887725" w:rsidRPr="00C32A20" w:rsidRDefault="00887725" w:rsidP="00B4274A">
            <w:pPr>
              <w:rPr>
                <w:rFonts w:ascii="Garamond" w:hAnsi="Garamond"/>
                <w:b/>
              </w:rPr>
            </w:pPr>
            <w:r>
              <w:rPr>
                <w:rFonts w:ascii="Garamond" w:hAnsi="Garamond"/>
              </w:rPr>
              <w:t xml:space="preserve">Nietzsche, </w:t>
            </w:r>
            <w:r w:rsidRPr="00C32A20">
              <w:rPr>
                <w:rFonts w:ascii="Garamond" w:hAnsi="Garamond"/>
                <w:i/>
              </w:rPr>
              <w:t>Second Treatise: “Guilt,” “Bad Conscience,” and Related Matters</w:t>
            </w:r>
            <w:r w:rsidRPr="00C32A20">
              <w:rPr>
                <w:rFonts w:ascii="Garamond" w:hAnsi="Garamond"/>
              </w:rPr>
              <w:t xml:space="preserve"> (pages 35 – 66 in Clark and Swensen translation) (We’ll focus on sections 1-8 and 16-25, so if pressed for time you might skim sections 8-15.)</w:t>
            </w:r>
          </w:p>
        </w:tc>
      </w:tr>
      <w:tr w:rsidR="00887725" w:rsidRPr="00C32A20" w14:paraId="642A75DF" w14:textId="77777777" w:rsidTr="009838C1">
        <w:tc>
          <w:tcPr>
            <w:tcW w:w="1975" w:type="dxa"/>
          </w:tcPr>
          <w:p w14:paraId="0276465D"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0E761C5B" w14:textId="77777777" w:rsidR="00887725" w:rsidRPr="00C32A20" w:rsidRDefault="00454017" w:rsidP="00B4274A">
            <w:pPr>
              <w:rPr>
                <w:rFonts w:ascii="Garamond" w:hAnsi="Garamond"/>
                <w:b/>
              </w:rPr>
            </w:pPr>
            <w:hyperlink r:id="rId39" w:history="1">
              <w:r w:rsidR="00887725" w:rsidRPr="00C32A20">
                <w:rPr>
                  <w:rStyle w:val="Hyperlink"/>
                  <w:rFonts w:ascii="Garamond" w:hAnsi="Garamond"/>
                </w:rPr>
                <w:t xml:space="preserve">Jonathan Bennett, “The Conscience of Huckleberry Finn,” </w:t>
              </w:r>
              <w:r w:rsidR="00887725" w:rsidRPr="00D10E64">
                <w:rPr>
                  <w:rStyle w:val="Hyperlink"/>
                  <w:rFonts w:ascii="Garamond" w:hAnsi="Garamond"/>
                  <w:i/>
                </w:rPr>
                <w:t>Philosophy</w:t>
              </w:r>
              <w:r w:rsidR="00887725" w:rsidRPr="00C32A20">
                <w:rPr>
                  <w:rStyle w:val="Hyperlink"/>
                  <w:rFonts w:ascii="Garamond" w:hAnsi="Garamond"/>
                </w:rPr>
                <w:t xml:space="preserve"> 49 (1979): 123-134</w:t>
              </w:r>
            </w:hyperlink>
            <w:r w:rsidR="00887725" w:rsidRPr="00C32A20">
              <w:rPr>
                <w:rFonts w:ascii="Garamond" w:hAnsi="Garamond"/>
                <w:color w:val="000000" w:themeColor="text1"/>
              </w:rPr>
              <w:t>.</w:t>
            </w:r>
          </w:p>
        </w:tc>
      </w:tr>
    </w:tbl>
    <w:p w14:paraId="4BF8E04D" w14:textId="77777777" w:rsidR="00887725" w:rsidRPr="00C32A20" w:rsidRDefault="00887725" w:rsidP="00887725">
      <w:pPr>
        <w:rPr>
          <w:rFonts w:ascii="Garamond" w:hAnsi="Garamond"/>
          <w:b/>
        </w:rPr>
      </w:pPr>
    </w:p>
    <w:p w14:paraId="25C1C038" w14:textId="77777777" w:rsidR="00887725" w:rsidRPr="00C32A20" w:rsidRDefault="00887725" w:rsidP="00887725">
      <w:pPr>
        <w:rPr>
          <w:rFonts w:ascii="Garamond" w:hAnsi="Garamond"/>
        </w:rPr>
      </w:pPr>
    </w:p>
    <w:tbl>
      <w:tblPr>
        <w:tblStyle w:val="TableGrid"/>
        <w:tblW w:w="0" w:type="auto"/>
        <w:tblLook w:val="04A0" w:firstRow="1" w:lastRow="0" w:firstColumn="1" w:lastColumn="0" w:noHBand="0" w:noVBand="1"/>
      </w:tblPr>
      <w:tblGrid>
        <w:gridCol w:w="1975"/>
        <w:gridCol w:w="7375"/>
      </w:tblGrid>
      <w:tr w:rsidR="00887725" w:rsidRPr="00C32A20" w14:paraId="7A1184ED" w14:textId="77777777" w:rsidTr="009838C1">
        <w:tc>
          <w:tcPr>
            <w:tcW w:w="1975" w:type="dxa"/>
          </w:tcPr>
          <w:p w14:paraId="14F7DA72" w14:textId="7D80F215" w:rsidR="00887725" w:rsidRPr="00C32A20" w:rsidRDefault="000036AC" w:rsidP="00B4274A">
            <w:pPr>
              <w:rPr>
                <w:rFonts w:ascii="Garamond" w:hAnsi="Garamond"/>
                <w:b/>
              </w:rPr>
            </w:pPr>
            <w:r>
              <w:rPr>
                <w:rFonts w:ascii="Garamond" w:hAnsi="Garamond"/>
                <w:b/>
                <w:bCs/>
                <w:szCs w:val="24"/>
              </w:rPr>
              <w:t>Class</w:t>
            </w:r>
          </w:p>
        </w:tc>
        <w:tc>
          <w:tcPr>
            <w:tcW w:w="7375" w:type="dxa"/>
          </w:tcPr>
          <w:p w14:paraId="03840070" w14:textId="77777777" w:rsidR="00887725" w:rsidRPr="00C32A20" w:rsidRDefault="00887725" w:rsidP="00B4274A">
            <w:pPr>
              <w:rPr>
                <w:rFonts w:ascii="Garamond" w:hAnsi="Garamond"/>
                <w:b/>
              </w:rPr>
            </w:pPr>
            <w:r w:rsidRPr="00C32A20">
              <w:rPr>
                <w:rFonts w:ascii="Garamond" w:hAnsi="Garamond"/>
                <w:b/>
              </w:rPr>
              <w:t>No Alternative to Religion?</w:t>
            </w:r>
          </w:p>
        </w:tc>
      </w:tr>
      <w:tr w:rsidR="00887725" w:rsidRPr="00505F5C" w14:paraId="32070004" w14:textId="77777777" w:rsidTr="009838C1">
        <w:tc>
          <w:tcPr>
            <w:tcW w:w="1975" w:type="dxa"/>
          </w:tcPr>
          <w:p w14:paraId="0D2579CD" w14:textId="77777777" w:rsidR="00887725" w:rsidRPr="00505F5C" w:rsidRDefault="00887725" w:rsidP="00B4274A">
            <w:pPr>
              <w:rPr>
                <w:rFonts w:ascii="Garamond" w:hAnsi="Garamond"/>
              </w:rPr>
            </w:pPr>
            <w:r w:rsidRPr="00505F5C">
              <w:rPr>
                <w:rFonts w:ascii="Garamond" w:hAnsi="Garamond"/>
                <w:bCs/>
              </w:rPr>
              <w:t xml:space="preserve">Core </w:t>
            </w:r>
            <w:r w:rsidRPr="00505F5C">
              <w:rPr>
                <w:rFonts w:ascii="Garamond" w:hAnsi="Garamond"/>
              </w:rPr>
              <w:t>reading:</w:t>
            </w:r>
          </w:p>
        </w:tc>
        <w:tc>
          <w:tcPr>
            <w:tcW w:w="7375" w:type="dxa"/>
          </w:tcPr>
          <w:p w14:paraId="71BE7121" w14:textId="77777777" w:rsidR="00887725" w:rsidRPr="00505F5C" w:rsidRDefault="00887725" w:rsidP="00B4274A">
            <w:pPr>
              <w:rPr>
                <w:rFonts w:ascii="Garamond" w:hAnsi="Garamond"/>
                <w:b/>
              </w:rPr>
            </w:pPr>
            <w:r w:rsidRPr="00505F5C">
              <w:rPr>
                <w:rFonts w:ascii="Garamond" w:hAnsi="Garamond"/>
              </w:rPr>
              <w:t xml:space="preserve">Nietzsche, </w:t>
            </w:r>
            <w:r w:rsidRPr="00505F5C">
              <w:rPr>
                <w:rFonts w:ascii="Garamond" w:hAnsi="Garamond"/>
                <w:i/>
              </w:rPr>
              <w:t>Third Treatise:  What Do Ascetic Ideals Mean?</w:t>
            </w:r>
            <w:r w:rsidRPr="00505F5C">
              <w:rPr>
                <w:rFonts w:ascii="Garamond" w:hAnsi="Garamond"/>
              </w:rPr>
              <w:t xml:space="preserve"> (pages 67 – 118 in Clark and Swensen translation)</w:t>
            </w:r>
          </w:p>
        </w:tc>
      </w:tr>
      <w:tr w:rsidR="00887725" w:rsidRPr="00505F5C" w14:paraId="69E5C591" w14:textId="77777777" w:rsidTr="009838C1">
        <w:tc>
          <w:tcPr>
            <w:tcW w:w="1975" w:type="dxa"/>
          </w:tcPr>
          <w:p w14:paraId="51986B33" w14:textId="77777777" w:rsidR="00887725" w:rsidRPr="00505F5C"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375" w:type="dxa"/>
          </w:tcPr>
          <w:p w14:paraId="5F5563E2" w14:textId="77777777" w:rsidR="00887725" w:rsidRPr="00505F5C" w:rsidRDefault="00454017" w:rsidP="00B4274A">
            <w:pPr>
              <w:rPr>
                <w:rFonts w:ascii="Garamond" w:hAnsi="Garamond"/>
                <w:b/>
              </w:rPr>
            </w:pPr>
            <w:hyperlink r:id="rId40" w:history="1">
              <w:r w:rsidR="00887725" w:rsidRPr="00505F5C">
                <w:rPr>
                  <w:rStyle w:val="Hyperlink"/>
                  <w:rFonts w:ascii="Garamond" w:hAnsi="Garamond"/>
                </w:rPr>
                <w:t xml:space="preserve">Claudia Roth Pierpont, “After God,” </w:t>
              </w:r>
              <w:r w:rsidR="00887725" w:rsidRPr="00505F5C">
                <w:rPr>
                  <w:rStyle w:val="Hyperlink"/>
                  <w:rFonts w:ascii="Garamond" w:hAnsi="Garamond"/>
                  <w:i/>
                </w:rPr>
                <w:t>The</w:t>
              </w:r>
              <w:r w:rsidR="00887725" w:rsidRPr="00505F5C">
                <w:rPr>
                  <w:rStyle w:val="Hyperlink"/>
                  <w:rFonts w:ascii="Garamond" w:hAnsi="Garamond"/>
                  <w:i/>
                </w:rPr>
                <w:t xml:space="preserve"> </w:t>
              </w:r>
              <w:r w:rsidR="00887725" w:rsidRPr="00505F5C">
                <w:rPr>
                  <w:rStyle w:val="Hyperlink"/>
                  <w:rFonts w:ascii="Garamond" w:hAnsi="Garamond"/>
                  <w:i/>
                </w:rPr>
                <w:t>New Yorker</w:t>
              </w:r>
              <w:r w:rsidR="00887725" w:rsidRPr="00505F5C">
                <w:rPr>
                  <w:rStyle w:val="Hyperlink"/>
                  <w:rFonts w:ascii="Garamond" w:hAnsi="Garamond"/>
                </w:rPr>
                <w:t>, April 8, 2002.</w:t>
              </w:r>
            </w:hyperlink>
          </w:p>
        </w:tc>
      </w:tr>
    </w:tbl>
    <w:p w14:paraId="14E8D3DE" w14:textId="77777777" w:rsidR="00887725" w:rsidRPr="00505F5C" w:rsidRDefault="00887725" w:rsidP="00887725">
      <w:pPr>
        <w:rPr>
          <w:rFonts w:ascii="Garamond" w:hAnsi="Garamond"/>
          <w:b/>
        </w:rPr>
      </w:pPr>
    </w:p>
    <w:p w14:paraId="43149C6D" w14:textId="77777777" w:rsidR="00887725" w:rsidRPr="00C32A20" w:rsidRDefault="00887725" w:rsidP="00887725">
      <w:pPr>
        <w:rPr>
          <w:rFonts w:ascii="Garamond" w:hAnsi="Garamond"/>
          <w:b/>
        </w:rPr>
      </w:pPr>
    </w:p>
    <w:tbl>
      <w:tblPr>
        <w:tblStyle w:val="TableGrid"/>
        <w:tblW w:w="0" w:type="auto"/>
        <w:tblLook w:val="04A0" w:firstRow="1" w:lastRow="0" w:firstColumn="1" w:lastColumn="0" w:noHBand="0" w:noVBand="1"/>
      </w:tblPr>
      <w:tblGrid>
        <w:gridCol w:w="2065"/>
        <w:gridCol w:w="7285"/>
      </w:tblGrid>
      <w:tr w:rsidR="00887725" w:rsidRPr="00C32A20" w14:paraId="728A0FEC" w14:textId="77777777" w:rsidTr="00B4274A">
        <w:tc>
          <w:tcPr>
            <w:tcW w:w="2065" w:type="dxa"/>
          </w:tcPr>
          <w:p w14:paraId="08C1E4F5" w14:textId="2008B4C9" w:rsidR="00887725" w:rsidRPr="00C32A20" w:rsidRDefault="000036AC" w:rsidP="00B4274A">
            <w:pPr>
              <w:rPr>
                <w:rFonts w:ascii="Garamond" w:hAnsi="Garamond"/>
                <w:b/>
              </w:rPr>
            </w:pPr>
            <w:r>
              <w:rPr>
                <w:rFonts w:ascii="Garamond" w:hAnsi="Garamond"/>
                <w:b/>
                <w:bCs/>
                <w:szCs w:val="24"/>
              </w:rPr>
              <w:t>Class</w:t>
            </w:r>
          </w:p>
        </w:tc>
        <w:tc>
          <w:tcPr>
            <w:tcW w:w="7285" w:type="dxa"/>
          </w:tcPr>
          <w:p w14:paraId="117938F0" w14:textId="77777777" w:rsidR="00887725" w:rsidRPr="00C32A20" w:rsidRDefault="00887725" w:rsidP="00B4274A">
            <w:pPr>
              <w:rPr>
                <w:rFonts w:ascii="Garamond" w:hAnsi="Garamond"/>
                <w:b/>
              </w:rPr>
            </w:pPr>
            <w:r w:rsidRPr="00C32A20">
              <w:rPr>
                <w:rFonts w:ascii="Garamond" w:hAnsi="Garamond"/>
                <w:b/>
              </w:rPr>
              <w:t xml:space="preserve">The Right to Believe? – William James’s </w:t>
            </w:r>
            <w:r w:rsidRPr="00C32A20">
              <w:rPr>
                <w:rFonts w:ascii="Garamond" w:hAnsi="Garamond"/>
                <w:b/>
                <w:i/>
              </w:rPr>
              <w:t>The Will to Believe</w:t>
            </w:r>
          </w:p>
        </w:tc>
      </w:tr>
      <w:tr w:rsidR="00887725" w:rsidRPr="00C32A20" w14:paraId="47CE33B1" w14:textId="77777777" w:rsidTr="00B4274A">
        <w:tc>
          <w:tcPr>
            <w:tcW w:w="2065" w:type="dxa"/>
          </w:tcPr>
          <w:p w14:paraId="3591CE8A" w14:textId="77777777" w:rsidR="00887725" w:rsidRPr="00C32A20" w:rsidRDefault="00887725" w:rsidP="00B4274A">
            <w:pPr>
              <w:rPr>
                <w:rFonts w:ascii="Garamond" w:hAnsi="Garamond"/>
                <w:b/>
              </w:rPr>
            </w:pPr>
            <w:r w:rsidRPr="00C32A20">
              <w:rPr>
                <w:rFonts w:ascii="Garamond" w:hAnsi="Garamond"/>
                <w:bCs/>
              </w:rPr>
              <w:t xml:space="preserve">Core </w:t>
            </w:r>
            <w:r w:rsidRPr="00C32A20">
              <w:rPr>
                <w:rFonts w:ascii="Garamond" w:hAnsi="Garamond"/>
              </w:rPr>
              <w:t>reading:</w:t>
            </w:r>
          </w:p>
        </w:tc>
        <w:tc>
          <w:tcPr>
            <w:tcW w:w="7285" w:type="dxa"/>
          </w:tcPr>
          <w:p w14:paraId="35AD5D13" w14:textId="77777777" w:rsidR="00887725" w:rsidRPr="00C32A20" w:rsidRDefault="00887725" w:rsidP="00B4274A">
            <w:pPr>
              <w:rPr>
                <w:rFonts w:ascii="Garamond" w:hAnsi="Garamond"/>
              </w:rPr>
            </w:pPr>
            <w:r w:rsidRPr="00C32A20">
              <w:rPr>
                <w:rFonts w:ascii="Garamond" w:hAnsi="Garamond"/>
              </w:rPr>
              <w:t xml:space="preserve">Required reading: </w:t>
            </w:r>
            <w:r w:rsidRPr="00C32A20">
              <w:rPr>
                <w:rFonts w:ascii="Garamond" w:hAnsi="Garamond"/>
                <w:i/>
              </w:rPr>
              <w:t>The Will to Believe</w:t>
            </w:r>
            <w:r w:rsidRPr="00C32A20">
              <w:rPr>
                <w:rFonts w:ascii="Garamond" w:hAnsi="Garamond"/>
              </w:rPr>
              <w:t>, William James</w:t>
            </w:r>
            <w:r>
              <w:rPr>
                <w:rFonts w:ascii="Garamond" w:hAnsi="Garamond"/>
              </w:rPr>
              <w:t>.</w:t>
            </w:r>
            <w:r w:rsidRPr="00C32A20">
              <w:rPr>
                <w:rFonts w:ascii="Garamond" w:hAnsi="Garamond"/>
              </w:rPr>
              <w:t xml:space="preserve"> Available on-line at:</w:t>
            </w:r>
          </w:p>
          <w:p w14:paraId="56D86CAE" w14:textId="77777777" w:rsidR="00887725" w:rsidRPr="00C32A20" w:rsidRDefault="00454017" w:rsidP="00B4274A">
            <w:pPr>
              <w:rPr>
                <w:rFonts w:ascii="Garamond" w:hAnsi="Garamond"/>
                <w:b/>
              </w:rPr>
            </w:pPr>
            <w:hyperlink r:id="rId41" w:history="1">
              <w:r w:rsidR="00887725" w:rsidRPr="00C32A20">
                <w:rPr>
                  <w:rStyle w:val="Hyperlink"/>
                  <w:rFonts w:ascii="Garamond" w:hAnsi="Garamond"/>
                </w:rPr>
                <w:t>http://www.gutenberg.org/files/26659/26659-h/26659-h.htm</w:t>
              </w:r>
            </w:hyperlink>
          </w:p>
        </w:tc>
      </w:tr>
      <w:tr w:rsidR="00887725" w:rsidRPr="00C32A20" w14:paraId="1351ADA6" w14:textId="77777777" w:rsidTr="00B4274A">
        <w:tc>
          <w:tcPr>
            <w:tcW w:w="2065" w:type="dxa"/>
          </w:tcPr>
          <w:p w14:paraId="4CA1D708" w14:textId="77777777" w:rsidR="00887725" w:rsidRPr="00C32A20" w:rsidRDefault="00887725" w:rsidP="00B4274A">
            <w:pPr>
              <w:rPr>
                <w:rFonts w:ascii="Garamond" w:hAnsi="Garamond"/>
              </w:rPr>
            </w:pPr>
            <w:r w:rsidRPr="00C32A20">
              <w:rPr>
                <w:rFonts w:ascii="Garamond" w:hAnsi="Garamond"/>
                <w:bCs/>
              </w:rPr>
              <w:t>Supp</w:t>
            </w:r>
            <w:r>
              <w:rPr>
                <w:rFonts w:ascii="Garamond" w:hAnsi="Garamond"/>
                <w:bCs/>
              </w:rPr>
              <w:t>.</w:t>
            </w:r>
            <w:r w:rsidRPr="00C32A20">
              <w:rPr>
                <w:rFonts w:ascii="Garamond" w:hAnsi="Garamond"/>
                <w:bCs/>
              </w:rPr>
              <w:t xml:space="preserve"> reading:</w:t>
            </w:r>
          </w:p>
        </w:tc>
        <w:tc>
          <w:tcPr>
            <w:tcW w:w="7285" w:type="dxa"/>
          </w:tcPr>
          <w:p w14:paraId="77C31D8D" w14:textId="77777777" w:rsidR="00887725" w:rsidRPr="00C32A20" w:rsidRDefault="00454017" w:rsidP="00B4274A">
            <w:pPr>
              <w:rPr>
                <w:rFonts w:ascii="Garamond" w:hAnsi="Garamond"/>
                <w:b/>
              </w:rPr>
            </w:pPr>
            <w:hyperlink r:id="rId42" w:history="1">
              <w:r w:rsidR="00887725" w:rsidRPr="00505F5C">
                <w:rPr>
                  <w:rStyle w:val="Hyperlink"/>
                  <w:rFonts w:ascii="Garamond" w:hAnsi="Garamond"/>
                </w:rPr>
                <w:t xml:space="preserve">Peter van </w:t>
              </w:r>
              <w:proofErr w:type="spellStart"/>
              <w:r w:rsidR="00887725" w:rsidRPr="00505F5C">
                <w:rPr>
                  <w:rStyle w:val="Hyperlink"/>
                  <w:rFonts w:ascii="Garamond" w:hAnsi="Garamond"/>
                </w:rPr>
                <w:t>Iwagen</w:t>
              </w:r>
              <w:proofErr w:type="spellEnd"/>
              <w:r w:rsidR="00887725" w:rsidRPr="00505F5C">
                <w:rPr>
                  <w:rStyle w:val="Hyperlink"/>
                  <w:rFonts w:ascii="Garamond" w:hAnsi="Garamond"/>
                </w:rPr>
                <w:t>, “</w:t>
              </w:r>
              <w:proofErr w:type="spellStart"/>
              <w:r w:rsidR="00887725" w:rsidRPr="002B0255">
                <w:rPr>
                  <w:rStyle w:val="Hyperlink"/>
                  <w:rFonts w:ascii="Garamond" w:hAnsi="Garamond"/>
                  <w:i/>
                </w:rPr>
                <w:t>Quam</w:t>
              </w:r>
              <w:proofErr w:type="spellEnd"/>
              <w:r w:rsidR="00887725" w:rsidRPr="002B0255">
                <w:rPr>
                  <w:rStyle w:val="Hyperlink"/>
                  <w:rFonts w:ascii="Garamond" w:hAnsi="Garamond"/>
                  <w:i/>
                </w:rPr>
                <w:t xml:space="preserve"> </w:t>
              </w:r>
              <w:proofErr w:type="spellStart"/>
              <w:r w:rsidR="00887725" w:rsidRPr="002B0255">
                <w:rPr>
                  <w:rStyle w:val="Hyperlink"/>
                  <w:rFonts w:ascii="Garamond" w:hAnsi="Garamond"/>
                  <w:i/>
                </w:rPr>
                <w:t>Dilecta</w:t>
              </w:r>
              <w:proofErr w:type="spellEnd"/>
              <w:r w:rsidR="00887725" w:rsidRPr="00505F5C">
                <w:rPr>
                  <w:rStyle w:val="Hyperlink"/>
                  <w:rFonts w:ascii="Garamond" w:hAnsi="Garamond"/>
                </w:rPr>
                <w:t xml:space="preserve">,” </w:t>
              </w:r>
              <w:r w:rsidR="00887725" w:rsidRPr="002B0255">
                <w:rPr>
                  <w:rStyle w:val="Hyperlink"/>
                  <w:rFonts w:ascii="Garamond" w:hAnsi="Garamond"/>
                  <w:i/>
                </w:rPr>
                <w:t>God and the Philosophers</w:t>
              </w:r>
              <w:r w:rsidR="00887725" w:rsidRPr="00505F5C">
                <w:rPr>
                  <w:rStyle w:val="Hyperlink"/>
                  <w:rFonts w:ascii="Garamond" w:hAnsi="Garamond"/>
                </w:rPr>
                <w:t>, ed. Morris, 1994.</w:t>
              </w:r>
            </w:hyperlink>
          </w:p>
        </w:tc>
      </w:tr>
    </w:tbl>
    <w:p w14:paraId="3F7F83DC" w14:textId="77777777" w:rsidR="00887725" w:rsidRPr="00C32A20" w:rsidRDefault="00887725" w:rsidP="00887725">
      <w:pPr>
        <w:rPr>
          <w:rFonts w:ascii="Garamond" w:hAnsi="Garamond"/>
        </w:rPr>
      </w:pPr>
    </w:p>
    <w:p w14:paraId="19F25E80" w14:textId="77777777" w:rsidR="00887725" w:rsidRPr="00C32A20" w:rsidRDefault="00887725" w:rsidP="00887725">
      <w:pPr>
        <w:rPr>
          <w:rFonts w:ascii="Garamond" w:hAnsi="Garamond"/>
          <w:b/>
        </w:rPr>
      </w:pPr>
    </w:p>
    <w:p w14:paraId="0220043C" w14:textId="77777777" w:rsidR="00887725" w:rsidRPr="00C32A20" w:rsidRDefault="00887725" w:rsidP="00887725">
      <w:pPr>
        <w:rPr>
          <w:rFonts w:ascii="Garamond" w:hAnsi="Garamond"/>
          <w:b/>
        </w:rPr>
      </w:pPr>
    </w:p>
    <w:p w14:paraId="72A3B3A1" w14:textId="77777777" w:rsidR="00887725" w:rsidRDefault="00887725"/>
    <w:sectPr w:rsidR="00887725" w:rsidSect="00F64816">
      <w:footerReference w:type="even"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E9E8" w14:textId="77777777" w:rsidR="00454017" w:rsidRDefault="00454017" w:rsidP="00887725">
      <w:r>
        <w:separator/>
      </w:r>
    </w:p>
  </w:endnote>
  <w:endnote w:type="continuationSeparator" w:id="0">
    <w:p w14:paraId="1E221247" w14:textId="77777777" w:rsidR="00454017" w:rsidRDefault="00454017" w:rsidP="0088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1953685"/>
      <w:docPartObj>
        <w:docPartGallery w:val="Page Numbers (Bottom of Page)"/>
        <w:docPartUnique/>
      </w:docPartObj>
    </w:sdtPr>
    <w:sdtEndPr>
      <w:rPr>
        <w:rStyle w:val="PageNumber"/>
      </w:rPr>
    </w:sdtEndPr>
    <w:sdtContent>
      <w:p w14:paraId="41F90F0D" w14:textId="77777777" w:rsidR="00887725" w:rsidRDefault="00887725" w:rsidP="008E1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C32EA2" w14:textId="77777777" w:rsidR="00887725" w:rsidRDefault="00887725" w:rsidP="00887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8054758"/>
      <w:docPartObj>
        <w:docPartGallery w:val="Page Numbers (Bottom of Page)"/>
        <w:docPartUnique/>
      </w:docPartObj>
    </w:sdtPr>
    <w:sdtEndPr>
      <w:rPr>
        <w:rStyle w:val="PageNumber"/>
      </w:rPr>
    </w:sdtEndPr>
    <w:sdtContent>
      <w:p w14:paraId="515549A5" w14:textId="77777777" w:rsidR="00887725" w:rsidRDefault="00887725" w:rsidP="008E17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F72BA9" w14:textId="77777777" w:rsidR="00887725" w:rsidRDefault="00887725" w:rsidP="008877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3622" w14:textId="77777777" w:rsidR="00454017" w:rsidRDefault="00454017" w:rsidP="00887725">
      <w:r>
        <w:separator/>
      </w:r>
    </w:p>
  </w:footnote>
  <w:footnote w:type="continuationSeparator" w:id="0">
    <w:p w14:paraId="2E87B896" w14:textId="77777777" w:rsidR="00454017" w:rsidRDefault="00454017" w:rsidP="00887725">
      <w:r>
        <w:continuationSeparator/>
      </w:r>
    </w:p>
  </w:footnote>
  <w:footnote w:id="1">
    <w:p w14:paraId="7D53EA9A" w14:textId="6A7E4122" w:rsidR="00887725" w:rsidRPr="008E6155" w:rsidRDefault="00887725" w:rsidP="00887725">
      <w:pPr>
        <w:pStyle w:val="FootnoteText"/>
        <w:jc w:val="both"/>
        <w:rPr>
          <w:rFonts w:ascii="Garamond" w:hAnsi="Garamond"/>
        </w:rPr>
      </w:pPr>
      <w:r w:rsidRPr="008E6155">
        <w:rPr>
          <w:rStyle w:val="FootnoteReference"/>
          <w:rFonts w:ascii="Garamond" w:hAnsi="Garamond"/>
        </w:rPr>
        <w:footnoteRef/>
      </w:r>
      <w:r w:rsidRPr="008E6155">
        <w:rPr>
          <w:rFonts w:ascii="Garamond" w:hAnsi="Garamond"/>
        </w:rPr>
        <w:t xml:space="preserve"> The image below is of Raphael’s </w:t>
      </w:r>
      <w:r w:rsidRPr="008E6155">
        <w:rPr>
          <w:rFonts w:ascii="Garamond" w:hAnsi="Garamond"/>
          <w:i/>
        </w:rPr>
        <w:t>Disputation of the Holy Sacramen</w:t>
      </w:r>
      <w:r w:rsidRPr="008E6155">
        <w:rPr>
          <w:rFonts w:ascii="Garamond" w:hAnsi="Garamond"/>
        </w:rPr>
        <w:t xml:space="preserve">t (1510). The fresco in the Stanza della Segnatura stands opposite Raphael’s famous </w:t>
      </w:r>
      <w:r w:rsidRPr="008E6155">
        <w:rPr>
          <w:rFonts w:ascii="Garamond" w:hAnsi="Garamond"/>
          <w:i/>
        </w:rPr>
        <w:t>The School of Athens</w:t>
      </w:r>
      <w:r w:rsidRPr="008E6155">
        <w:rPr>
          <w:rFonts w:ascii="Garamond" w:hAnsi="Garamond"/>
        </w:rPr>
        <w:t xml:space="preserve"> and represents Christianity’s victory over philosophy.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59"/>
    <w:rsid w:val="000036AC"/>
    <w:rsid w:val="000102A8"/>
    <w:rsid w:val="00014F18"/>
    <w:rsid w:val="00024753"/>
    <w:rsid w:val="000514A5"/>
    <w:rsid w:val="00067C8E"/>
    <w:rsid w:val="000C48D1"/>
    <w:rsid w:val="00105C85"/>
    <w:rsid w:val="001841B5"/>
    <w:rsid w:val="001B71AD"/>
    <w:rsid w:val="001F0EFA"/>
    <w:rsid w:val="00250725"/>
    <w:rsid w:val="00272EB2"/>
    <w:rsid w:val="002D1CBD"/>
    <w:rsid w:val="002E673F"/>
    <w:rsid w:val="00300A32"/>
    <w:rsid w:val="00350DCE"/>
    <w:rsid w:val="003D5E61"/>
    <w:rsid w:val="00402B0F"/>
    <w:rsid w:val="00454017"/>
    <w:rsid w:val="00473E3E"/>
    <w:rsid w:val="004D50B7"/>
    <w:rsid w:val="004E293C"/>
    <w:rsid w:val="00523D06"/>
    <w:rsid w:val="00532C8D"/>
    <w:rsid w:val="005648FE"/>
    <w:rsid w:val="005A793A"/>
    <w:rsid w:val="005B1EA5"/>
    <w:rsid w:val="005E1B0C"/>
    <w:rsid w:val="005F5D1F"/>
    <w:rsid w:val="0066702A"/>
    <w:rsid w:val="006C08AC"/>
    <w:rsid w:val="006C320B"/>
    <w:rsid w:val="006D5E87"/>
    <w:rsid w:val="006F2664"/>
    <w:rsid w:val="00725291"/>
    <w:rsid w:val="00726BE6"/>
    <w:rsid w:val="00787975"/>
    <w:rsid w:val="007A3AEE"/>
    <w:rsid w:val="007B3C6B"/>
    <w:rsid w:val="007C2940"/>
    <w:rsid w:val="00814ABF"/>
    <w:rsid w:val="00865122"/>
    <w:rsid w:val="00880BB0"/>
    <w:rsid w:val="00883D2B"/>
    <w:rsid w:val="00887725"/>
    <w:rsid w:val="008A410F"/>
    <w:rsid w:val="009318A9"/>
    <w:rsid w:val="009838C1"/>
    <w:rsid w:val="009B0255"/>
    <w:rsid w:val="009D362D"/>
    <w:rsid w:val="009E43CF"/>
    <w:rsid w:val="00A05B4E"/>
    <w:rsid w:val="00A22D74"/>
    <w:rsid w:val="00A33BAC"/>
    <w:rsid w:val="00A67487"/>
    <w:rsid w:val="00A81B69"/>
    <w:rsid w:val="00AC67B7"/>
    <w:rsid w:val="00AF4B9B"/>
    <w:rsid w:val="00B06288"/>
    <w:rsid w:val="00BA2050"/>
    <w:rsid w:val="00BC2CCD"/>
    <w:rsid w:val="00BC30D6"/>
    <w:rsid w:val="00BF2924"/>
    <w:rsid w:val="00BF3545"/>
    <w:rsid w:val="00C074A8"/>
    <w:rsid w:val="00C6256F"/>
    <w:rsid w:val="00C81F54"/>
    <w:rsid w:val="00CE2087"/>
    <w:rsid w:val="00CE5D73"/>
    <w:rsid w:val="00CF433D"/>
    <w:rsid w:val="00D21A59"/>
    <w:rsid w:val="00D33693"/>
    <w:rsid w:val="00D420A1"/>
    <w:rsid w:val="00D50CA5"/>
    <w:rsid w:val="00DE0254"/>
    <w:rsid w:val="00E16C2F"/>
    <w:rsid w:val="00E50BBD"/>
    <w:rsid w:val="00EC06C5"/>
    <w:rsid w:val="00F61062"/>
    <w:rsid w:val="00F64816"/>
    <w:rsid w:val="00F86D3B"/>
    <w:rsid w:val="00FC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FA93"/>
  <w14:defaultImageDpi w14:val="32767"/>
  <w15:chartTrackingRefBased/>
  <w15:docId w15:val="{820514A1-8BFB-C244-B6D3-4CE6C08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772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87725"/>
    <w:rPr>
      <w:color w:val="0000FF"/>
      <w:u w:val="single"/>
    </w:rPr>
  </w:style>
  <w:style w:type="paragraph" w:styleId="Subtitle">
    <w:name w:val="Subtitle"/>
    <w:basedOn w:val="Normal"/>
    <w:link w:val="SubtitleChar"/>
    <w:qFormat/>
    <w:rsid w:val="00887725"/>
    <w:rPr>
      <w:szCs w:val="20"/>
    </w:rPr>
  </w:style>
  <w:style w:type="character" w:customStyle="1" w:styleId="SubtitleChar">
    <w:name w:val="Subtitle Char"/>
    <w:basedOn w:val="DefaultParagraphFont"/>
    <w:link w:val="Subtitle"/>
    <w:rsid w:val="00887725"/>
    <w:rPr>
      <w:rFonts w:ascii="Times New Roman" w:eastAsia="Times New Roman" w:hAnsi="Times New Roman" w:cs="Times New Roman"/>
      <w:szCs w:val="20"/>
    </w:rPr>
  </w:style>
  <w:style w:type="paragraph" w:styleId="Title">
    <w:name w:val="Title"/>
    <w:basedOn w:val="Normal"/>
    <w:link w:val="TitleChar"/>
    <w:qFormat/>
    <w:rsid w:val="00887725"/>
    <w:pPr>
      <w:jc w:val="center"/>
    </w:pPr>
    <w:rPr>
      <w:sz w:val="28"/>
      <w:szCs w:val="20"/>
    </w:rPr>
  </w:style>
  <w:style w:type="character" w:customStyle="1" w:styleId="TitleChar">
    <w:name w:val="Title Char"/>
    <w:basedOn w:val="DefaultParagraphFont"/>
    <w:link w:val="Title"/>
    <w:rsid w:val="00887725"/>
    <w:rPr>
      <w:rFonts w:ascii="Times New Roman" w:eastAsia="Times New Roman" w:hAnsi="Times New Roman" w:cs="Times New Roman"/>
      <w:sz w:val="28"/>
      <w:szCs w:val="20"/>
    </w:rPr>
  </w:style>
  <w:style w:type="paragraph" w:styleId="FootnoteText">
    <w:name w:val="footnote text"/>
    <w:basedOn w:val="Normal"/>
    <w:link w:val="FootnoteTextChar"/>
    <w:rsid w:val="00887725"/>
    <w:rPr>
      <w:sz w:val="20"/>
      <w:szCs w:val="20"/>
    </w:rPr>
  </w:style>
  <w:style w:type="character" w:customStyle="1" w:styleId="FootnoteTextChar">
    <w:name w:val="Footnote Text Char"/>
    <w:basedOn w:val="DefaultParagraphFont"/>
    <w:link w:val="FootnoteText"/>
    <w:rsid w:val="00887725"/>
    <w:rPr>
      <w:rFonts w:ascii="Times New Roman" w:eastAsia="Times New Roman" w:hAnsi="Times New Roman" w:cs="Times New Roman"/>
      <w:sz w:val="20"/>
      <w:szCs w:val="20"/>
    </w:rPr>
  </w:style>
  <w:style w:type="character" w:styleId="FootnoteReference">
    <w:name w:val="footnote reference"/>
    <w:basedOn w:val="DefaultParagraphFont"/>
    <w:rsid w:val="00887725"/>
    <w:rPr>
      <w:vertAlign w:val="superscript"/>
    </w:rPr>
  </w:style>
  <w:style w:type="table" w:styleId="TableGrid">
    <w:name w:val="Table Grid"/>
    <w:basedOn w:val="TableNormal"/>
    <w:rsid w:val="0088772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7725"/>
    <w:pPr>
      <w:tabs>
        <w:tab w:val="center" w:pos="4680"/>
        <w:tab w:val="right" w:pos="9360"/>
      </w:tabs>
    </w:pPr>
  </w:style>
  <w:style w:type="character" w:customStyle="1" w:styleId="FooterChar">
    <w:name w:val="Footer Char"/>
    <w:basedOn w:val="DefaultParagraphFont"/>
    <w:link w:val="Footer"/>
    <w:uiPriority w:val="99"/>
    <w:rsid w:val="00887725"/>
    <w:rPr>
      <w:rFonts w:ascii="Times New Roman" w:eastAsia="Times New Roman" w:hAnsi="Times New Roman" w:cs="Times New Roman"/>
    </w:rPr>
  </w:style>
  <w:style w:type="character" w:styleId="PageNumber">
    <w:name w:val="page number"/>
    <w:basedOn w:val="DefaultParagraphFont"/>
    <w:uiPriority w:val="99"/>
    <w:semiHidden/>
    <w:unhideWhenUsed/>
    <w:rsid w:val="00887725"/>
  </w:style>
  <w:style w:type="character" w:styleId="FollowedHyperlink">
    <w:name w:val="FollowedHyperlink"/>
    <w:basedOn w:val="DefaultParagraphFont"/>
    <w:uiPriority w:val="99"/>
    <w:semiHidden/>
    <w:unhideWhenUsed/>
    <w:rsid w:val="005F5D1F"/>
    <w:rPr>
      <w:color w:val="954F72" w:themeColor="followedHyperlink"/>
      <w:u w:val="single"/>
    </w:rPr>
  </w:style>
  <w:style w:type="character" w:styleId="UnresolvedMention">
    <w:name w:val="Unresolved Mention"/>
    <w:basedOn w:val="DefaultParagraphFont"/>
    <w:uiPriority w:val="99"/>
    <w:rsid w:val="00BA2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768">
      <w:bodyDiv w:val="1"/>
      <w:marLeft w:val="0"/>
      <w:marRight w:val="0"/>
      <w:marTop w:val="0"/>
      <w:marBottom w:val="0"/>
      <w:divBdr>
        <w:top w:val="none" w:sz="0" w:space="0" w:color="auto"/>
        <w:left w:val="none" w:sz="0" w:space="0" w:color="auto"/>
        <w:bottom w:val="none" w:sz="0" w:space="0" w:color="auto"/>
        <w:right w:val="none" w:sz="0" w:space="0" w:color="auto"/>
      </w:divBdr>
      <w:divsChild>
        <w:div w:id="352998960">
          <w:marLeft w:val="0"/>
          <w:marRight w:val="0"/>
          <w:marTop w:val="0"/>
          <w:marBottom w:val="0"/>
          <w:divBdr>
            <w:top w:val="none" w:sz="0" w:space="0" w:color="auto"/>
            <w:left w:val="none" w:sz="0" w:space="0" w:color="auto"/>
            <w:bottom w:val="none" w:sz="0" w:space="0" w:color="auto"/>
            <w:right w:val="none" w:sz="0" w:space="0" w:color="auto"/>
          </w:divBdr>
          <w:divsChild>
            <w:div w:id="2100252608">
              <w:marLeft w:val="0"/>
              <w:marRight w:val="0"/>
              <w:marTop w:val="0"/>
              <w:marBottom w:val="0"/>
              <w:divBdr>
                <w:top w:val="none" w:sz="0" w:space="0" w:color="auto"/>
                <w:left w:val="none" w:sz="0" w:space="0" w:color="auto"/>
                <w:bottom w:val="none" w:sz="0" w:space="0" w:color="auto"/>
                <w:right w:val="none" w:sz="0" w:space="0" w:color="auto"/>
              </w:divBdr>
              <w:divsChild>
                <w:div w:id="445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906">
      <w:bodyDiv w:val="1"/>
      <w:marLeft w:val="0"/>
      <w:marRight w:val="0"/>
      <w:marTop w:val="0"/>
      <w:marBottom w:val="0"/>
      <w:divBdr>
        <w:top w:val="none" w:sz="0" w:space="0" w:color="auto"/>
        <w:left w:val="none" w:sz="0" w:space="0" w:color="auto"/>
        <w:bottom w:val="none" w:sz="0" w:space="0" w:color="auto"/>
        <w:right w:val="none" w:sz="0" w:space="0" w:color="auto"/>
      </w:divBdr>
    </w:div>
    <w:div w:id="21302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asper-hopkins.info/DeLibertate.pdf" TargetMode="External"/><Relationship Id="rId18" Type="http://schemas.openxmlformats.org/officeDocument/2006/relationships/hyperlink" Target="https://slate.com/culture/2015/03/transformative-experience-by-l-a-paul-in-conversation-with-paul-bloom.html" TargetMode="External"/><Relationship Id="rId26" Type="http://schemas.openxmlformats.org/officeDocument/2006/relationships/hyperlink" Target="https://opinionator.blogs.nytimes.com/2015/09/28/a-new-wager/" TargetMode="External"/><Relationship Id="rId39" Type="http://schemas.openxmlformats.org/officeDocument/2006/relationships/hyperlink" Target="https://www.earlymoderntexts.com/assets/jfb/huckfinn.pdf" TargetMode="External"/><Relationship Id="rId21" Type="http://schemas.openxmlformats.org/officeDocument/2006/relationships/hyperlink" Target="https://www.washingtonpost.com/news/acts-of-faith/wp/2018/07/03/is-god-male-the-episcopal-church-debates-whether-to-change-its-book-of-common-prayer/?utm_term=.4e11d5afdc20" TargetMode="External"/><Relationship Id="rId34" Type="http://schemas.openxmlformats.org/officeDocument/2006/relationships/hyperlink" Target="https://www.vox.com/identities/2017/11/10/16630178/study-spiritual-but-not-religious" TargetMode="External"/><Relationship Id="rId42" Type="http://schemas.openxmlformats.org/officeDocument/2006/relationships/hyperlink" Target="http://andrewmbailey.com/pvi/Quam_Dilecta.pdf" TargetMode="External"/><Relationship Id="rId7" Type="http://schemas.openxmlformats.org/officeDocument/2006/relationships/hyperlink" Target="http://classics.mit.edu/Plato/euthyfro.html" TargetMode="External"/><Relationship Id="rId2" Type="http://schemas.openxmlformats.org/officeDocument/2006/relationships/settings" Target="settings.xml"/><Relationship Id="rId16" Type="http://schemas.openxmlformats.org/officeDocument/2006/relationships/hyperlink" Target="https://www.economist.com/erasmus/2015/04/22/a-millennium-old-argument" TargetMode="External"/><Relationship Id="rId29" Type="http://schemas.openxmlformats.org/officeDocument/2006/relationships/hyperlink" Target="https://opinionator.blogs.nytimes.com/2011/12/18/good-minus-god/"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ytimes.com/2018/08/18/opinion/life-is-short-thats-the-point.html" TargetMode="External"/><Relationship Id="rId24" Type="http://schemas.openxmlformats.org/officeDocument/2006/relationships/hyperlink" Target="https://historyofphilosophy.net/marguerite-porete" TargetMode="External"/><Relationship Id="rId32" Type="http://schemas.openxmlformats.org/officeDocument/2006/relationships/hyperlink" Target="http://cosmos.nautil.us/short/91/cosmic-pantheism" TargetMode="External"/><Relationship Id="rId37" Type="http://schemas.openxmlformats.org/officeDocument/2006/relationships/hyperlink" Target="https://aerbook.com/books/Good_Without_God-43385.html?social=1&amp;retail=1&amp;emailcap=0" TargetMode="External"/><Relationship Id="rId40" Type="http://schemas.openxmlformats.org/officeDocument/2006/relationships/hyperlink" Target="https://www.newyorker.com/magazine/2002/04/08/after-god"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afavephilosophy.x10host.com/where_am_i.html" TargetMode="External"/><Relationship Id="rId23" Type="http://schemas.openxmlformats.org/officeDocument/2006/relationships/hyperlink" Target="https://docs.wixstatic.com/ugd/c9fdf5_e6877c8bc07f43cf9da452533656bea0.pdf" TargetMode="External"/><Relationship Id="rId28" Type="http://schemas.openxmlformats.org/officeDocument/2006/relationships/hyperlink" Target="https://aeon.co/essays/on-free-will-daniel-dennett-and-gregg-caruso-go-head-to-head" TargetMode="External"/><Relationship Id="rId36" Type="http://schemas.openxmlformats.org/officeDocument/2006/relationships/hyperlink" Target="https://www.nybooks.com/articles/2012/09/27/philosopher-defends-religion/" TargetMode="External"/><Relationship Id="rId10" Type="http://schemas.openxmlformats.org/officeDocument/2006/relationships/hyperlink" Target="https://www.washingtonpost.com/archive/opinions/1989/03/26/genesis-from-eves-point-of-view/dc371184-1f4c-4142-ac2d-d5efee72a0da/?utm_term=.53015fdbe9c9" TargetMode="External"/><Relationship Id="rId19" Type="http://schemas.openxmlformats.org/officeDocument/2006/relationships/hyperlink" Target="https://www.firstthings.com/article/2014/04/uneasy-grace" TargetMode="External"/><Relationship Id="rId31" Type="http://schemas.openxmlformats.org/officeDocument/2006/relationships/hyperlink" Target="http://cosmos.nautil.us/short/119/fine-tuning-does-not-imply-a-fine-tuner"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newyorker.com/magazine/2018/10/29/the-myth-of-whiteness-in-classical-sculpture" TargetMode="External"/><Relationship Id="rId14" Type="http://schemas.openxmlformats.org/officeDocument/2006/relationships/hyperlink" Target="http://www.basicincome.com/bp/files/Petitionary_Prayer_by_C.S._Lewis.pdf" TargetMode="External"/><Relationship Id="rId22" Type="http://schemas.openxmlformats.org/officeDocument/2006/relationships/hyperlink" Target="http://www.episcopalnet.org/TRACTS/priestesses.html" TargetMode="External"/><Relationship Id="rId27" Type="http://schemas.openxmlformats.org/officeDocument/2006/relationships/hyperlink" Target="https://www.earlymoderntexts.com/assets/jfb/glimpses.html" TargetMode="External"/><Relationship Id="rId30" Type="http://schemas.openxmlformats.org/officeDocument/2006/relationships/hyperlink" Target="https://blogs.law.nyu.edu/magazine/2014/the-importance-of-the-afterlife-seriously/" TargetMode="External"/><Relationship Id="rId35" Type="http://schemas.openxmlformats.org/officeDocument/2006/relationships/hyperlink" Target="https://www.laits.utexas.edu/poltheory/mill/three/utilrelig.html" TargetMode="External"/><Relationship Id="rId43" Type="http://schemas.openxmlformats.org/officeDocument/2006/relationships/footer" Target="footer1.xml"/><Relationship Id="rId8" Type="http://schemas.openxmlformats.org/officeDocument/2006/relationships/hyperlink" Target="https://aeon.co/essays/when-homer-envisioned-achilles-did-he-see-a-black-man" TargetMode="External"/><Relationship Id="rId3" Type="http://schemas.openxmlformats.org/officeDocument/2006/relationships/webSettings" Target="webSettings.xml"/><Relationship Id="rId12" Type="http://schemas.openxmlformats.org/officeDocument/2006/relationships/hyperlink" Target="https://slate.com/culture/2002/02/robert-nozick-and-newcomb-s-problem.html" TargetMode="External"/><Relationship Id="rId17" Type="http://schemas.openxmlformats.org/officeDocument/2006/relationships/hyperlink" Target="https://www.bbc.co.uk/programmes/b055j9rv" TargetMode="External"/><Relationship Id="rId25" Type="http://schemas.openxmlformats.org/officeDocument/2006/relationships/hyperlink" Target="http://web.mnstate.edu/gracyk/courses/web%20publishing/Pascal_Wager.htm" TargetMode="External"/><Relationship Id="rId33" Type="http://schemas.openxmlformats.org/officeDocument/2006/relationships/hyperlink" Target="https://www.dropbox.com/s/wct7jxh1eoka0rh/Marilyn%20McCord%20Adams%20Horrendous%20Evils%20and%20the%20Goodness%20of%20God%20copy%20for%20sharing.pdf?dl=0" TargetMode="External"/><Relationship Id="rId38" Type="http://schemas.openxmlformats.org/officeDocument/2006/relationships/hyperlink" Target="https://www.theguardian.com/books/2018/oct/06/exploding-nietzsche-myths-need-dynamiting" TargetMode="External"/><Relationship Id="rId46" Type="http://schemas.openxmlformats.org/officeDocument/2006/relationships/theme" Target="theme/theme1.xml"/><Relationship Id="rId20" Type="http://schemas.openxmlformats.org/officeDocument/2006/relationships/hyperlink" Target="https://aeon.co/essays/don-t-believe-in-miracles-until-you-ve-done-the-math" TargetMode="External"/><Relationship Id="rId41" Type="http://schemas.openxmlformats.org/officeDocument/2006/relationships/hyperlink" Target="http://www.gutenberg.org/files/26659/26659-h/26659-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McDonough</dc:creator>
  <cp:keywords/>
  <dc:description/>
  <cp:lastModifiedBy>McDonough, Jeffrey K.</cp:lastModifiedBy>
  <cp:revision>3</cp:revision>
  <dcterms:created xsi:type="dcterms:W3CDTF">2022-02-18T11:49:00Z</dcterms:created>
  <dcterms:modified xsi:type="dcterms:W3CDTF">2022-02-18T16:32:00Z</dcterms:modified>
</cp:coreProperties>
</file>